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7AE" w:rsidRDefault="005A77AE" w:rsidP="005A77AE">
      <w:r>
        <w:rPr>
          <w:noProof/>
          <w:lang w:eastAsia="en-AU"/>
        </w:rPr>
        <w:drawing>
          <wp:anchor distT="0" distB="0" distL="114300" distR="114300" simplePos="0" relativeHeight="251660288" behindDoc="1" locked="0" layoutInCell="1" allowOverlap="1">
            <wp:simplePos x="0" y="0"/>
            <wp:positionH relativeFrom="column">
              <wp:posOffset>-895350</wp:posOffset>
            </wp:positionH>
            <wp:positionV relativeFrom="paragraph">
              <wp:posOffset>-914400</wp:posOffset>
            </wp:positionV>
            <wp:extent cx="7455535" cy="1929765"/>
            <wp:effectExtent l="19050" t="0" r="0" b="0"/>
            <wp:wrapSquare wrapText="bothSides"/>
            <wp:docPr id="3" name="Picture 2" descr="KPPM Strategy header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PM Strategy header portrait.jpg"/>
                    <pic:cNvPicPr/>
                  </pic:nvPicPr>
                  <pic:blipFill>
                    <a:blip r:embed="rId9" cstate="print"/>
                    <a:srcRect/>
                    <a:stretch>
                      <a:fillRect/>
                    </a:stretch>
                  </pic:blipFill>
                  <pic:spPr>
                    <a:xfrm>
                      <a:off x="0" y="0"/>
                      <a:ext cx="7455535" cy="1929765"/>
                    </a:xfrm>
                    <a:prstGeom prst="rect">
                      <a:avLst/>
                    </a:prstGeom>
                  </pic:spPr>
                </pic:pic>
              </a:graphicData>
            </a:graphic>
          </wp:anchor>
        </w:drawing>
      </w:r>
    </w:p>
    <w:p w:rsidR="005A77AE" w:rsidRDefault="005A77AE" w:rsidP="005A77AE"/>
    <w:p w:rsidR="005A77AE" w:rsidRDefault="005A77AE" w:rsidP="005A77AE"/>
    <w:p w:rsidR="005A77AE" w:rsidRDefault="005A77AE" w:rsidP="005A77AE"/>
    <w:p w:rsidR="00C14FB8" w:rsidRDefault="00C14FB8" w:rsidP="005A77AE"/>
    <w:p w:rsidR="00C14FB8" w:rsidRDefault="00C14FB8" w:rsidP="005A77AE"/>
    <w:p w:rsidR="00C14FB8" w:rsidRDefault="00C14FB8" w:rsidP="005A77AE"/>
    <w:p w:rsidR="00C14FB8" w:rsidRDefault="00C14FB8" w:rsidP="005A77AE"/>
    <w:p w:rsidR="00C14FB8" w:rsidRDefault="00C14FB8" w:rsidP="005A77AE"/>
    <w:p w:rsidR="00C14FB8" w:rsidRDefault="00996AE9" w:rsidP="00786AB2">
      <w:pPr>
        <w:pStyle w:val="Title"/>
        <w:pBdr>
          <w:bottom w:val="none" w:sz="0" w:space="0" w:color="auto"/>
        </w:pBdr>
        <w:ind w:left="1134"/>
      </w:pPr>
      <w:r>
        <w:t>Public Libraries SA</w:t>
      </w:r>
    </w:p>
    <w:p w:rsidR="00C14FB8" w:rsidRPr="00C14FB8" w:rsidRDefault="00C14FB8" w:rsidP="00786AB2">
      <w:pPr>
        <w:ind w:left="1134"/>
      </w:pPr>
    </w:p>
    <w:p w:rsidR="00C14FB8" w:rsidRDefault="00C14FB8" w:rsidP="00786AB2">
      <w:pPr>
        <w:pStyle w:val="Title"/>
        <w:ind w:left="1134"/>
      </w:pPr>
      <w:r>
        <w:t>Community Languages Strategy</w:t>
      </w:r>
    </w:p>
    <w:p w:rsidR="006B7543" w:rsidRDefault="006B7543" w:rsidP="00786AB2">
      <w:pPr>
        <w:ind w:left="1134"/>
        <w:rPr>
          <w:sz w:val="32"/>
        </w:rPr>
      </w:pPr>
    </w:p>
    <w:p w:rsidR="006B7543" w:rsidRDefault="006B7543" w:rsidP="00786AB2">
      <w:pPr>
        <w:ind w:left="1134"/>
        <w:rPr>
          <w:sz w:val="32"/>
        </w:rPr>
      </w:pPr>
    </w:p>
    <w:p w:rsidR="006B7543" w:rsidRDefault="006B7543" w:rsidP="00786AB2">
      <w:pPr>
        <w:ind w:left="1134"/>
        <w:rPr>
          <w:sz w:val="32"/>
        </w:rPr>
      </w:pPr>
    </w:p>
    <w:p w:rsidR="006B7543" w:rsidRDefault="006B7543" w:rsidP="00786AB2">
      <w:pPr>
        <w:ind w:left="1134"/>
        <w:rPr>
          <w:sz w:val="32"/>
        </w:rPr>
      </w:pPr>
      <w:r>
        <w:rPr>
          <w:sz w:val="32"/>
        </w:rPr>
        <w:t>Dr Kristine Peters</w:t>
      </w:r>
    </w:p>
    <w:p w:rsidR="00F001C5" w:rsidRDefault="006B7543" w:rsidP="00786AB2">
      <w:pPr>
        <w:ind w:left="1134"/>
        <w:rPr>
          <w:sz w:val="28"/>
        </w:rPr>
      </w:pPr>
      <w:r w:rsidRPr="006B7543">
        <w:rPr>
          <w:sz w:val="28"/>
        </w:rPr>
        <w:t>12</w:t>
      </w:r>
      <w:r w:rsidR="002A6DA4" w:rsidRPr="00786AB2">
        <w:rPr>
          <w:sz w:val="28"/>
          <w:vertAlign w:val="superscript"/>
        </w:rPr>
        <w:t>th</w:t>
      </w:r>
      <w:r w:rsidR="00C14FB8" w:rsidRPr="006B7543">
        <w:rPr>
          <w:sz w:val="28"/>
        </w:rPr>
        <w:t xml:space="preserve"> </w:t>
      </w:r>
      <w:r w:rsidR="002A6DA4" w:rsidRPr="006B7543">
        <w:rPr>
          <w:sz w:val="28"/>
        </w:rPr>
        <w:t>D</w:t>
      </w:r>
      <w:r w:rsidR="0049057A" w:rsidRPr="0049057A">
        <w:rPr>
          <w:noProof/>
          <w:sz w:val="28"/>
          <w:lang w:eastAsia="en-AU"/>
        </w:rPr>
        <w:drawing>
          <wp:anchor distT="0" distB="0" distL="114300" distR="114300" simplePos="0" relativeHeight="251669504" behindDoc="1" locked="0" layoutInCell="1" allowOverlap="1">
            <wp:simplePos x="0" y="0"/>
            <wp:positionH relativeFrom="column">
              <wp:posOffset>-895350</wp:posOffset>
            </wp:positionH>
            <wp:positionV relativeFrom="paragraph">
              <wp:posOffset>2180529</wp:posOffset>
            </wp:positionV>
            <wp:extent cx="7443634" cy="1504335"/>
            <wp:effectExtent l="19050" t="0" r="0" b="0"/>
            <wp:wrapSquare wrapText="bothSides"/>
            <wp:docPr id="11" name="Picture 1" descr="KPPM Strategy footer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PM Strategy footer portrait.jpg"/>
                    <pic:cNvPicPr/>
                  </pic:nvPicPr>
                  <pic:blipFill>
                    <a:blip r:embed="rId10" cstate="print"/>
                    <a:srcRect t="43750"/>
                    <a:stretch>
                      <a:fillRect/>
                    </a:stretch>
                  </pic:blipFill>
                  <pic:spPr>
                    <a:xfrm>
                      <a:off x="0" y="0"/>
                      <a:ext cx="7455535" cy="1493520"/>
                    </a:xfrm>
                    <a:prstGeom prst="rect">
                      <a:avLst/>
                    </a:prstGeom>
                  </pic:spPr>
                </pic:pic>
              </a:graphicData>
            </a:graphic>
          </wp:anchor>
        </w:drawing>
      </w:r>
      <w:r w:rsidR="002A6DA4" w:rsidRPr="006B7543">
        <w:rPr>
          <w:sz w:val="28"/>
        </w:rPr>
        <w:t>ecember</w:t>
      </w:r>
      <w:r w:rsidR="00C14FB8" w:rsidRPr="006B7543">
        <w:rPr>
          <w:sz w:val="28"/>
        </w:rPr>
        <w:t xml:space="preserve"> 2013</w:t>
      </w:r>
    </w:p>
    <w:p w:rsidR="00F001C5" w:rsidRDefault="00F001C5" w:rsidP="00786AB2">
      <w:pPr>
        <w:ind w:left="1134"/>
        <w:rPr>
          <w:sz w:val="28"/>
        </w:rPr>
      </w:pPr>
      <w:r>
        <w:rPr>
          <w:sz w:val="28"/>
        </w:rPr>
        <w:t>Reviewed by the Community Languages Operating Committee</w:t>
      </w:r>
    </w:p>
    <w:p w:rsidR="00C23657" w:rsidRPr="006B7543" w:rsidRDefault="00F001C5" w:rsidP="00786AB2">
      <w:pPr>
        <w:ind w:left="1134"/>
        <w:rPr>
          <w:color w:val="FF0000"/>
          <w:sz w:val="28"/>
        </w:rPr>
      </w:pPr>
      <w:r>
        <w:rPr>
          <w:sz w:val="28"/>
        </w:rPr>
        <w:t>February 2014</w:t>
      </w:r>
      <w:r w:rsidR="00C23657" w:rsidRPr="006B7543">
        <w:rPr>
          <w:color w:val="FF0000"/>
          <w:sz w:val="28"/>
        </w:rPr>
        <w:br w:type="page"/>
      </w:r>
    </w:p>
    <w:sdt>
      <w:sdtPr>
        <w:rPr>
          <w:rFonts w:ascii="Cambria" w:eastAsia="Times New Roman" w:hAnsi="Cambria" w:cs="Times New Roman"/>
          <w:b w:val="0"/>
          <w:bCs w:val="0"/>
          <w:color w:val="auto"/>
          <w:sz w:val="22"/>
          <w:szCs w:val="24"/>
          <w:lang w:val="en-AU"/>
        </w:rPr>
        <w:id w:val="19745343"/>
        <w:docPartObj>
          <w:docPartGallery w:val="Table of Contents"/>
          <w:docPartUnique/>
        </w:docPartObj>
      </w:sdtPr>
      <w:sdtEndPr/>
      <w:sdtContent>
        <w:p w:rsidR="005B7BC4" w:rsidRDefault="005B7BC4">
          <w:pPr>
            <w:pStyle w:val="TOCHeading"/>
            <w:rPr>
              <w:b w:val="0"/>
              <w:color w:val="244061" w:themeColor="accent1" w:themeShade="80"/>
              <w:sz w:val="32"/>
            </w:rPr>
          </w:pPr>
          <w:r w:rsidRPr="00F553F6">
            <w:rPr>
              <w:b w:val="0"/>
              <w:color w:val="244061" w:themeColor="accent1" w:themeShade="80"/>
              <w:sz w:val="32"/>
            </w:rPr>
            <w:t>Contents</w:t>
          </w:r>
        </w:p>
        <w:p w:rsidR="00DA7492" w:rsidRPr="00DA7492" w:rsidRDefault="00DA7492" w:rsidP="00DA7492">
          <w:pPr>
            <w:rPr>
              <w:lang w:val="en-US"/>
            </w:rPr>
          </w:pPr>
        </w:p>
        <w:p w:rsidR="00124D27" w:rsidRDefault="00697B2E">
          <w:pPr>
            <w:pStyle w:val="TOC1"/>
            <w:tabs>
              <w:tab w:val="right" w:leader="dot" w:pos="9016"/>
            </w:tabs>
            <w:rPr>
              <w:rFonts w:asciiTheme="minorHAnsi" w:eastAsiaTheme="minorEastAsia" w:hAnsiTheme="minorHAnsi" w:cstheme="minorBidi"/>
              <w:noProof/>
              <w:szCs w:val="22"/>
              <w:lang w:eastAsia="en-AU"/>
            </w:rPr>
          </w:pPr>
          <w:r>
            <w:fldChar w:fldCharType="begin"/>
          </w:r>
          <w:r w:rsidR="005B7BC4">
            <w:instrText xml:space="preserve"> TOC \o "1-3" \h \z \u </w:instrText>
          </w:r>
          <w:r>
            <w:fldChar w:fldCharType="separate"/>
          </w:r>
          <w:hyperlink w:anchor="_Toc374595971" w:history="1">
            <w:r w:rsidR="00124D27" w:rsidRPr="008E74CC">
              <w:rPr>
                <w:rStyle w:val="Hyperlink"/>
                <w:rFonts w:eastAsiaTheme="majorEastAsia"/>
                <w:noProof/>
              </w:rPr>
              <w:t>Introduction</w:t>
            </w:r>
            <w:r w:rsidR="00124D27">
              <w:rPr>
                <w:noProof/>
                <w:webHidden/>
              </w:rPr>
              <w:tab/>
            </w:r>
            <w:r>
              <w:rPr>
                <w:noProof/>
                <w:webHidden/>
              </w:rPr>
              <w:fldChar w:fldCharType="begin"/>
            </w:r>
            <w:r w:rsidR="00124D27">
              <w:rPr>
                <w:noProof/>
                <w:webHidden/>
              </w:rPr>
              <w:instrText xml:space="preserve"> PAGEREF _Toc374595971 \h </w:instrText>
            </w:r>
            <w:r>
              <w:rPr>
                <w:noProof/>
                <w:webHidden/>
              </w:rPr>
            </w:r>
            <w:r>
              <w:rPr>
                <w:noProof/>
                <w:webHidden/>
              </w:rPr>
              <w:fldChar w:fldCharType="separate"/>
            </w:r>
            <w:r w:rsidR="00C20D83">
              <w:rPr>
                <w:noProof/>
                <w:webHidden/>
              </w:rPr>
              <w:t>2</w:t>
            </w:r>
            <w:r>
              <w:rPr>
                <w:noProof/>
                <w:webHidden/>
              </w:rPr>
              <w:fldChar w:fldCharType="end"/>
            </w:r>
          </w:hyperlink>
        </w:p>
        <w:p w:rsidR="00124D27" w:rsidRDefault="00E32F9F">
          <w:pPr>
            <w:pStyle w:val="TOC1"/>
            <w:tabs>
              <w:tab w:val="right" w:leader="dot" w:pos="9016"/>
            </w:tabs>
            <w:rPr>
              <w:rFonts w:asciiTheme="minorHAnsi" w:eastAsiaTheme="minorEastAsia" w:hAnsiTheme="minorHAnsi" w:cstheme="minorBidi"/>
              <w:noProof/>
              <w:szCs w:val="22"/>
              <w:lang w:eastAsia="en-AU"/>
            </w:rPr>
          </w:pPr>
          <w:hyperlink w:anchor="_Toc374595972" w:history="1">
            <w:r w:rsidR="00124D27" w:rsidRPr="008E74CC">
              <w:rPr>
                <w:rStyle w:val="Hyperlink"/>
                <w:rFonts w:eastAsiaTheme="majorEastAsia"/>
                <w:noProof/>
              </w:rPr>
              <w:t>The policy framework</w:t>
            </w:r>
            <w:r w:rsidR="00124D27">
              <w:rPr>
                <w:noProof/>
                <w:webHidden/>
              </w:rPr>
              <w:tab/>
            </w:r>
            <w:r w:rsidR="00697B2E">
              <w:rPr>
                <w:noProof/>
                <w:webHidden/>
              </w:rPr>
              <w:fldChar w:fldCharType="begin"/>
            </w:r>
            <w:r w:rsidR="00124D27">
              <w:rPr>
                <w:noProof/>
                <w:webHidden/>
              </w:rPr>
              <w:instrText xml:space="preserve"> PAGEREF _Toc374595972 \h </w:instrText>
            </w:r>
            <w:r w:rsidR="00697B2E">
              <w:rPr>
                <w:noProof/>
                <w:webHidden/>
              </w:rPr>
            </w:r>
            <w:r w:rsidR="00697B2E">
              <w:rPr>
                <w:noProof/>
                <w:webHidden/>
              </w:rPr>
              <w:fldChar w:fldCharType="separate"/>
            </w:r>
            <w:r w:rsidR="00C20D83">
              <w:rPr>
                <w:noProof/>
                <w:webHidden/>
              </w:rPr>
              <w:t>3</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73" w:history="1">
            <w:r w:rsidR="00124D27" w:rsidRPr="008E74CC">
              <w:rPr>
                <w:rStyle w:val="Hyperlink"/>
                <w:rFonts w:eastAsiaTheme="majorEastAsia"/>
                <w:noProof/>
              </w:rPr>
              <w:t>State Government</w:t>
            </w:r>
            <w:r w:rsidR="00124D27">
              <w:rPr>
                <w:noProof/>
                <w:webHidden/>
              </w:rPr>
              <w:tab/>
            </w:r>
            <w:r w:rsidR="00697B2E">
              <w:rPr>
                <w:noProof/>
                <w:webHidden/>
              </w:rPr>
              <w:fldChar w:fldCharType="begin"/>
            </w:r>
            <w:r w:rsidR="00124D27">
              <w:rPr>
                <w:noProof/>
                <w:webHidden/>
              </w:rPr>
              <w:instrText xml:space="preserve"> PAGEREF _Toc374595973 \h </w:instrText>
            </w:r>
            <w:r w:rsidR="00697B2E">
              <w:rPr>
                <w:noProof/>
                <w:webHidden/>
              </w:rPr>
            </w:r>
            <w:r w:rsidR="00697B2E">
              <w:rPr>
                <w:noProof/>
                <w:webHidden/>
              </w:rPr>
              <w:fldChar w:fldCharType="separate"/>
            </w:r>
            <w:r w:rsidR="00C20D83">
              <w:rPr>
                <w:noProof/>
                <w:webHidden/>
              </w:rPr>
              <w:t>3</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74" w:history="1">
            <w:r w:rsidR="00124D27" w:rsidRPr="008E74CC">
              <w:rPr>
                <w:rStyle w:val="Hyperlink"/>
                <w:rFonts w:eastAsiaTheme="majorEastAsia"/>
                <w:noProof/>
              </w:rPr>
              <w:t>Local Government</w:t>
            </w:r>
            <w:r w:rsidR="00124D27">
              <w:rPr>
                <w:noProof/>
                <w:webHidden/>
              </w:rPr>
              <w:tab/>
            </w:r>
            <w:r w:rsidR="00697B2E">
              <w:rPr>
                <w:noProof/>
                <w:webHidden/>
              </w:rPr>
              <w:fldChar w:fldCharType="begin"/>
            </w:r>
            <w:r w:rsidR="00124D27">
              <w:rPr>
                <w:noProof/>
                <w:webHidden/>
              </w:rPr>
              <w:instrText xml:space="preserve"> PAGEREF _Toc374595974 \h </w:instrText>
            </w:r>
            <w:r w:rsidR="00697B2E">
              <w:rPr>
                <w:noProof/>
                <w:webHidden/>
              </w:rPr>
            </w:r>
            <w:r w:rsidR="00697B2E">
              <w:rPr>
                <w:noProof/>
                <w:webHidden/>
              </w:rPr>
              <w:fldChar w:fldCharType="separate"/>
            </w:r>
            <w:r w:rsidR="00C20D83">
              <w:rPr>
                <w:noProof/>
                <w:webHidden/>
              </w:rPr>
              <w:t>3</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75" w:history="1">
            <w:r w:rsidR="00124D27" w:rsidRPr="008E74CC">
              <w:rPr>
                <w:rStyle w:val="Hyperlink"/>
                <w:rFonts w:eastAsiaTheme="majorEastAsia"/>
                <w:noProof/>
              </w:rPr>
              <w:t>Public Libraries SA</w:t>
            </w:r>
            <w:r w:rsidR="00124D27">
              <w:rPr>
                <w:noProof/>
                <w:webHidden/>
              </w:rPr>
              <w:tab/>
            </w:r>
            <w:r w:rsidR="00697B2E">
              <w:rPr>
                <w:noProof/>
                <w:webHidden/>
              </w:rPr>
              <w:fldChar w:fldCharType="begin"/>
            </w:r>
            <w:r w:rsidR="00124D27">
              <w:rPr>
                <w:noProof/>
                <w:webHidden/>
              </w:rPr>
              <w:instrText xml:space="preserve"> PAGEREF _Toc374595975 \h </w:instrText>
            </w:r>
            <w:r w:rsidR="00697B2E">
              <w:rPr>
                <w:noProof/>
                <w:webHidden/>
              </w:rPr>
            </w:r>
            <w:r w:rsidR="00697B2E">
              <w:rPr>
                <w:noProof/>
                <w:webHidden/>
              </w:rPr>
              <w:fldChar w:fldCharType="separate"/>
            </w:r>
            <w:r w:rsidR="00C20D83">
              <w:rPr>
                <w:noProof/>
                <w:webHidden/>
              </w:rPr>
              <w:t>3</w:t>
            </w:r>
            <w:r w:rsidR="00697B2E">
              <w:rPr>
                <w:noProof/>
                <w:webHidden/>
              </w:rPr>
              <w:fldChar w:fldCharType="end"/>
            </w:r>
          </w:hyperlink>
        </w:p>
        <w:p w:rsidR="00124D27" w:rsidRDefault="00E32F9F">
          <w:pPr>
            <w:pStyle w:val="TOC3"/>
            <w:tabs>
              <w:tab w:val="right" w:leader="dot" w:pos="9016"/>
            </w:tabs>
            <w:rPr>
              <w:rFonts w:asciiTheme="minorHAnsi" w:eastAsiaTheme="minorEastAsia" w:hAnsiTheme="minorHAnsi" w:cstheme="minorBidi"/>
              <w:noProof/>
              <w:szCs w:val="22"/>
              <w:lang w:eastAsia="en-AU"/>
            </w:rPr>
          </w:pPr>
          <w:hyperlink w:anchor="_Toc374595976" w:history="1">
            <w:r w:rsidR="00124D27" w:rsidRPr="008E74CC">
              <w:rPr>
                <w:rStyle w:val="Hyperlink"/>
                <w:rFonts w:eastAsiaTheme="majorEastAsia"/>
                <w:noProof/>
              </w:rPr>
              <w:t>Community Languages Policy (201</w:t>
            </w:r>
            <w:r w:rsidR="0019202B">
              <w:rPr>
                <w:rStyle w:val="Hyperlink"/>
                <w:rFonts w:eastAsiaTheme="majorEastAsia"/>
                <w:noProof/>
              </w:rPr>
              <w:t>1</w:t>
            </w:r>
            <w:r w:rsidR="00124D27" w:rsidRPr="008E74CC">
              <w:rPr>
                <w:rStyle w:val="Hyperlink"/>
                <w:rFonts w:eastAsiaTheme="majorEastAsia"/>
                <w:noProof/>
              </w:rPr>
              <w:t>)</w:t>
            </w:r>
            <w:r w:rsidR="00124D27">
              <w:rPr>
                <w:noProof/>
                <w:webHidden/>
              </w:rPr>
              <w:tab/>
            </w:r>
            <w:r w:rsidR="00697B2E">
              <w:rPr>
                <w:noProof/>
                <w:webHidden/>
              </w:rPr>
              <w:fldChar w:fldCharType="begin"/>
            </w:r>
            <w:r w:rsidR="00124D27">
              <w:rPr>
                <w:noProof/>
                <w:webHidden/>
              </w:rPr>
              <w:instrText xml:space="preserve"> PAGEREF _Toc374595976 \h </w:instrText>
            </w:r>
            <w:r w:rsidR="00697B2E">
              <w:rPr>
                <w:noProof/>
                <w:webHidden/>
              </w:rPr>
            </w:r>
            <w:r w:rsidR="00697B2E">
              <w:rPr>
                <w:noProof/>
                <w:webHidden/>
              </w:rPr>
              <w:fldChar w:fldCharType="separate"/>
            </w:r>
            <w:r w:rsidR="00C20D83">
              <w:rPr>
                <w:noProof/>
                <w:webHidden/>
              </w:rPr>
              <w:t>4</w:t>
            </w:r>
            <w:r w:rsidR="00697B2E">
              <w:rPr>
                <w:noProof/>
                <w:webHidden/>
              </w:rPr>
              <w:fldChar w:fldCharType="end"/>
            </w:r>
          </w:hyperlink>
        </w:p>
        <w:p w:rsidR="00124D27" w:rsidRDefault="00E32F9F">
          <w:pPr>
            <w:pStyle w:val="TOC1"/>
            <w:tabs>
              <w:tab w:val="right" w:leader="dot" w:pos="9016"/>
            </w:tabs>
            <w:rPr>
              <w:rFonts w:asciiTheme="minorHAnsi" w:eastAsiaTheme="minorEastAsia" w:hAnsiTheme="minorHAnsi" w:cstheme="minorBidi"/>
              <w:noProof/>
              <w:szCs w:val="22"/>
              <w:lang w:eastAsia="en-AU"/>
            </w:rPr>
          </w:pPr>
          <w:hyperlink w:anchor="_Toc374595977" w:history="1">
            <w:r w:rsidR="00124D27" w:rsidRPr="008E74CC">
              <w:rPr>
                <w:rStyle w:val="Hyperlink"/>
                <w:rFonts w:eastAsiaTheme="majorEastAsia"/>
                <w:noProof/>
              </w:rPr>
              <w:t>Current Community Languages Policies and Procedures</w:t>
            </w:r>
            <w:r w:rsidR="00124D27">
              <w:rPr>
                <w:noProof/>
                <w:webHidden/>
              </w:rPr>
              <w:tab/>
            </w:r>
            <w:r w:rsidR="00697B2E">
              <w:rPr>
                <w:noProof/>
                <w:webHidden/>
              </w:rPr>
              <w:fldChar w:fldCharType="begin"/>
            </w:r>
            <w:r w:rsidR="00124D27">
              <w:rPr>
                <w:noProof/>
                <w:webHidden/>
              </w:rPr>
              <w:instrText xml:space="preserve"> PAGEREF _Toc374595977 \h </w:instrText>
            </w:r>
            <w:r w:rsidR="00697B2E">
              <w:rPr>
                <w:noProof/>
                <w:webHidden/>
              </w:rPr>
            </w:r>
            <w:r w:rsidR="00697B2E">
              <w:rPr>
                <w:noProof/>
                <w:webHidden/>
              </w:rPr>
              <w:fldChar w:fldCharType="separate"/>
            </w:r>
            <w:r w:rsidR="00C20D83">
              <w:rPr>
                <w:noProof/>
                <w:webHidden/>
              </w:rPr>
              <w:t>4</w:t>
            </w:r>
            <w:r w:rsidR="00697B2E">
              <w:rPr>
                <w:noProof/>
                <w:webHidden/>
              </w:rPr>
              <w:fldChar w:fldCharType="end"/>
            </w:r>
          </w:hyperlink>
        </w:p>
        <w:p w:rsidR="00124D27" w:rsidRDefault="00E32F9F">
          <w:pPr>
            <w:pStyle w:val="TOC1"/>
            <w:tabs>
              <w:tab w:val="right" w:leader="dot" w:pos="9016"/>
            </w:tabs>
            <w:rPr>
              <w:rFonts w:asciiTheme="minorHAnsi" w:eastAsiaTheme="minorEastAsia" w:hAnsiTheme="minorHAnsi" w:cstheme="minorBidi"/>
              <w:noProof/>
              <w:szCs w:val="22"/>
              <w:lang w:eastAsia="en-AU"/>
            </w:rPr>
          </w:pPr>
          <w:hyperlink w:anchor="_Toc374595978" w:history="1">
            <w:r w:rsidR="00124D27" w:rsidRPr="008E74CC">
              <w:rPr>
                <w:rStyle w:val="Hyperlink"/>
                <w:rFonts w:eastAsiaTheme="majorEastAsia"/>
                <w:noProof/>
              </w:rPr>
              <w:t>Community Languages and Population</w:t>
            </w:r>
            <w:r w:rsidR="00124D27">
              <w:rPr>
                <w:noProof/>
                <w:webHidden/>
              </w:rPr>
              <w:tab/>
            </w:r>
            <w:r w:rsidR="00697B2E">
              <w:rPr>
                <w:noProof/>
                <w:webHidden/>
              </w:rPr>
              <w:fldChar w:fldCharType="begin"/>
            </w:r>
            <w:r w:rsidR="00124D27">
              <w:rPr>
                <w:noProof/>
                <w:webHidden/>
              </w:rPr>
              <w:instrText xml:space="preserve"> PAGEREF _Toc374595978 \h </w:instrText>
            </w:r>
            <w:r w:rsidR="00697B2E">
              <w:rPr>
                <w:noProof/>
                <w:webHidden/>
              </w:rPr>
            </w:r>
            <w:r w:rsidR="00697B2E">
              <w:rPr>
                <w:noProof/>
                <w:webHidden/>
              </w:rPr>
              <w:fldChar w:fldCharType="separate"/>
            </w:r>
            <w:r w:rsidR="00C20D83">
              <w:rPr>
                <w:noProof/>
                <w:webHidden/>
              </w:rPr>
              <w:t>6</w:t>
            </w:r>
            <w:r w:rsidR="00697B2E">
              <w:rPr>
                <w:noProof/>
                <w:webHidden/>
              </w:rPr>
              <w:fldChar w:fldCharType="end"/>
            </w:r>
          </w:hyperlink>
        </w:p>
        <w:p w:rsidR="00124D27" w:rsidRDefault="00E32F9F">
          <w:pPr>
            <w:pStyle w:val="TOC1"/>
            <w:tabs>
              <w:tab w:val="right" w:leader="dot" w:pos="9016"/>
            </w:tabs>
            <w:rPr>
              <w:rFonts w:asciiTheme="minorHAnsi" w:eastAsiaTheme="minorEastAsia" w:hAnsiTheme="minorHAnsi" w:cstheme="minorBidi"/>
              <w:noProof/>
              <w:szCs w:val="22"/>
              <w:lang w:eastAsia="en-AU"/>
            </w:rPr>
          </w:pPr>
          <w:hyperlink w:anchor="_Toc374595979" w:history="1">
            <w:r w:rsidR="00124D27" w:rsidRPr="008E74CC">
              <w:rPr>
                <w:rStyle w:val="Hyperlink"/>
                <w:rFonts w:eastAsiaTheme="majorEastAsia"/>
                <w:noProof/>
              </w:rPr>
              <w:t>What are we doing well?</w:t>
            </w:r>
            <w:r w:rsidR="00124D27">
              <w:rPr>
                <w:noProof/>
                <w:webHidden/>
              </w:rPr>
              <w:tab/>
            </w:r>
            <w:r w:rsidR="00697B2E">
              <w:rPr>
                <w:noProof/>
                <w:webHidden/>
              </w:rPr>
              <w:fldChar w:fldCharType="begin"/>
            </w:r>
            <w:r w:rsidR="00124D27">
              <w:rPr>
                <w:noProof/>
                <w:webHidden/>
              </w:rPr>
              <w:instrText xml:space="preserve"> PAGEREF _Toc374595979 \h </w:instrText>
            </w:r>
            <w:r w:rsidR="00697B2E">
              <w:rPr>
                <w:noProof/>
                <w:webHidden/>
              </w:rPr>
            </w:r>
            <w:r w:rsidR="00697B2E">
              <w:rPr>
                <w:noProof/>
                <w:webHidden/>
              </w:rPr>
              <w:fldChar w:fldCharType="separate"/>
            </w:r>
            <w:r w:rsidR="00C20D83">
              <w:rPr>
                <w:noProof/>
                <w:webHidden/>
              </w:rPr>
              <w:t>8</w:t>
            </w:r>
            <w:r w:rsidR="00697B2E">
              <w:rPr>
                <w:noProof/>
                <w:webHidden/>
              </w:rPr>
              <w:fldChar w:fldCharType="end"/>
            </w:r>
          </w:hyperlink>
        </w:p>
        <w:p w:rsidR="00124D27" w:rsidRDefault="00E32F9F">
          <w:pPr>
            <w:pStyle w:val="TOC1"/>
            <w:tabs>
              <w:tab w:val="right" w:leader="dot" w:pos="9016"/>
            </w:tabs>
            <w:rPr>
              <w:rFonts w:asciiTheme="minorHAnsi" w:eastAsiaTheme="minorEastAsia" w:hAnsiTheme="minorHAnsi" w:cstheme="minorBidi"/>
              <w:noProof/>
              <w:szCs w:val="22"/>
              <w:lang w:eastAsia="en-AU"/>
            </w:rPr>
          </w:pPr>
          <w:hyperlink w:anchor="_Toc374595980" w:history="1">
            <w:r w:rsidR="00124D27" w:rsidRPr="008E74CC">
              <w:rPr>
                <w:rStyle w:val="Hyperlink"/>
                <w:rFonts w:eastAsiaTheme="majorEastAsia"/>
                <w:noProof/>
              </w:rPr>
              <w:t>What do we need to change?</w:t>
            </w:r>
            <w:r w:rsidR="00124D27">
              <w:rPr>
                <w:noProof/>
                <w:webHidden/>
              </w:rPr>
              <w:tab/>
            </w:r>
            <w:r w:rsidR="00697B2E">
              <w:rPr>
                <w:noProof/>
                <w:webHidden/>
              </w:rPr>
              <w:fldChar w:fldCharType="begin"/>
            </w:r>
            <w:r w:rsidR="00124D27">
              <w:rPr>
                <w:noProof/>
                <w:webHidden/>
              </w:rPr>
              <w:instrText xml:space="preserve"> PAGEREF _Toc374595980 \h </w:instrText>
            </w:r>
            <w:r w:rsidR="00697B2E">
              <w:rPr>
                <w:noProof/>
                <w:webHidden/>
              </w:rPr>
            </w:r>
            <w:r w:rsidR="00697B2E">
              <w:rPr>
                <w:noProof/>
                <w:webHidden/>
              </w:rPr>
              <w:fldChar w:fldCharType="separate"/>
            </w:r>
            <w:r w:rsidR="00C20D83">
              <w:rPr>
                <w:noProof/>
                <w:webHidden/>
              </w:rPr>
              <w:t>8</w:t>
            </w:r>
            <w:r w:rsidR="00697B2E">
              <w:rPr>
                <w:noProof/>
                <w:webHidden/>
              </w:rPr>
              <w:fldChar w:fldCharType="end"/>
            </w:r>
          </w:hyperlink>
        </w:p>
        <w:p w:rsidR="00124D27" w:rsidRDefault="00E32F9F">
          <w:pPr>
            <w:pStyle w:val="TOC1"/>
            <w:tabs>
              <w:tab w:val="right" w:leader="dot" w:pos="9016"/>
            </w:tabs>
            <w:rPr>
              <w:rFonts w:asciiTheme="minorHAnsi" w:eastAsiaTheme="minorEastAsia" w:hAnsiTheme="minorHAnsi" w:cstheme="minorBidi"/>
              <w:noProof/>
              <w:szCs w:val="22"/>
              <w:lang w:eastAsia="en-AU"/>
            </w:rPr>
          </w:pPr>
          <w:hyperlink w:anchor="_Toc374595981" w:history="1">
            <w:r w:rsidR="00124D27" w:rsidRPr="008E74CC">
              <w:rPr>
                <w:rStyle w:val="Hyperlink"/>
                <w:rFonts w:eastAsiaTheme="majorEastAsia"/>
                <w:noProof/>
              </w:rPr>
              <w:t>Emerging practice</w:t>
            </w:r>
            <w:r w:rsidR="00124D27">
              <w:rPr>
                <w:noProof/>
                <w:webHidden/>
              </w:rPr>
              <w:tab/>
            </w:r>
            <w:r w:rsidR="00697B2E">
              <w:rPr>
                <w:noProof/>
                <w:webHidden/>
              </w:rPr>
              <w:fldChar w:fldCharType="begin"/>
            </w:r>
            <w:r w:rsidR="00124D27">
              <w:rPr>
                <w:noProof/>
                <w:webHidden/>
              </w:rPr>
              <w:instrText xml:space="preserve"> PAGEREF _Toc374595981 \h </w:instrText>
            </w:r>
            <w:r w:rsidR="00697B2E">
              <w:rPr>
                <w:noProof/>
                <w:webHidden/>
              </w:rPr>
            </w:r>
            <w:r w:rsidR="00697B2E">
              <w:rPr>
                <w:noProof/>
                <w:webHidden/>
              </w:rPr>
              <w:fldChar w:fldCharType="separate"/>
            </w:r>
            <w:r w:rsidR="00C20D83">
              <w:rPr>
                <w:noProof/>
                <w:webHidden/>
              </w:rPr>
              <w:t>11</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82" w:history="1">
            <w:r w:rsidR="00124D27" w:rsidRPr="008E74CC">
              <w:rPr>
                <w:rStyle w:val="Hyperlink"/>
                <w:rFonts w:eastAsiaTheme="majorEastAsia"/>
                <w:noProof/>
              </w:rPr>
              <w:t>Non print materials</w:t>
            </w:r>
            <w:r w:rsidR="00124D27">
              <w:rPr>
                <w:noProof/>
                <w:webHidden/>
              </w:rPr>
              <w:tab/>
            </w:r>
            <w:r w:rsidR="00697B2E">
              <w:rPr>
                <w:noProof/>
                <w:webHidden/>
              </w:rPr>
              <w:fldChar w:fldCharType="begin"/>
            </w:r>
            <w:r w:rsidR="00124D27">
              <w:rPr>
                <w:noProof/>
                <w:webHidden/>
              </w:rPr>
              <w:instrText xml:space="preserve"> PAGEREF _Toc374595982 \h </w:instrText>
            </w:r>
            <w:r w:rsidR="00697B2E">
              <w:rPr>
                <w:noProof/>
                <w:webHidden/>
              </w:rPr>
            </w:r>
            <w:r w:rsidR="00697B2E">
              <w:rPr>
                <w:noProof/>
                <w:webHidden/>
              </w:rPr>
              <w:fldChar w:fldCharType="separate"/>
            </w:r>
            <w:r w:rsidR="00C20D83">
              <w:rPr>
                <w:noProof/>
                <w:webHidden/>
              </w:rPr>
              <w:t>11</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83" w:history="1">
            <w:r w:rsidR="00124D27" w:rsidRPr="008E74CC">
              <w:rPr>
                <w:rStyle w:val="Hyperlink"/>
                <w:rFonts w:eastAsiaTheme="majorEastAsia"/>
                <w:noProof/>
              </w:rPr>
              <w:t>Management of the CALD collection</w:t>
            </w:r>
            <w:r w:rsidR="00124D27">
              <w:rPr>
                <w:noProof/>
                <w:webHidden/>
              </w:rPr>
              <w:tab/>
            </w:r>
            <w:r w:rsidR="00697B2E">
              <w:rPr>
                <w:noProof/>
                <w:webHidden/>
              </w:rPr>
              <w:fldChar w:fldCharType="begin"/>
            </w:r>
            <w:r w:rsidR="00124D27">
              <w:rPr>
                <w:noProof/>
                <w:webHidden/>
              </w:rPr>
              <w:instrText xml:space="preserve"> PAGEREF _Toc374595983 \h </w:instrText>
            </w:r>
            <w:r w:rsidR="00697B2E">
              <w:rPr>
                <w:noProof/>
                <w:webHidden/>
              </w:rPr>
            </w:r>
            <w:r w:rsidR="00697B2E">
              <w:rPr>
                <w:noProof/>
                <w:webHidden/>
              </w:rPr>
              <w:fldChar w:fldCharType="separate"/>
            </w:r>
            <w:r w:rsidR="00C20D83">
              <w:rPr>
                <w:noProof/>
                <w:webHidden/>
              </w:rPr>
              <w:t>11</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84" w:history="1">
            <w:r w:rsidR="00124D27" w:rsidRPr="008E74CC">
              <w:rPr>
                <w:rStyle w:val="Hyperlink"/>
                <w:rFonts w:eastAsiaTheme="majorEastAsia"/>
                <w:noProof/>
              </w:rPr>
              <w:t>Selection and evaluation of materials</w:t>
            </w:r>
            <w:r w:rsidR="00124D27">
              <w:rPr>
                <w:noProof/>
                <w:webHidden/>
              </w:rPr>
              <w:tab/>
            </w:r>
            <w:r w:rsidR="00697B2E">
              <w:rPr>
                <w:noProof/>
                <w:webHidden/>
              </w:rPr>
              <w:fldChar w:fldCharType="begin"/>
            </w:r>
            <w:r w:rsidR="00124D27">
              <w:rPr>
                <w:noProof/>
                <w:webHidden/>
              </w:rPr>
              <w:instrText xml:space="preserve"> PAGEREF _Toc374595984 \h </w:instrText>
            </w:r>
            <w:r w:rsidR="00697B2E">
              <w:rPr>
                <w:noProof/>
                <w:webHidden/>
              </w:rPr>
            </w:r>
            <w:r w:rsidR="00697B2E">
              <w:rPr>
                <w:noProof/>
                <w:webHidden/>
              </w:rPr>
              <w:fldChar w:fldCharType="separate"/>
            </w:r>
            <w:r w:rsidR="00C20D83">
              <w:rPr>
                <w:noProof/>
                <w:webHidden/>
              </w:rPr>
              <w:t>11</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85" w:history="1">
            <w:r w:rsidR="00124D27" w:rsidRPr="008E74CC">
              <w:rPr>
                <w:rStyle w:val="Hyperlink"/>
                <w:rFonts w:eastAsiaTheme="majorEastAsia"/>
                <w:noProof/>
              </w:rPr>
              <w:t>Non-metropolitan libraries</w:t>
            </w:r>
            <w:r w:rsidR="00124D27">
              <w:rPr>
                <w:noProof/>
                <w:webHidden/>
              </w:rPr>
              <w:tab/>
            </w:r>
            <w:r w:rsidR="00697B2E">
              <w:rPr>
                <w:noProof/>
                <w:webHidden/>
              </w:rPr>
              <w:fldChar w:fldCharType="begin"/>
            </w:r>
            <w:r w:rsidR="00124D27">
              <w:rPr>
                <w:noProof/>
                <w:webHidden/>
              </w:rPr>
              <w:instrText xml:space="preserve"> PAGEREF _Toc374595985 \h </w:instrText>
            </w:r>
            <w:r w:rsidR="00697B2E">
              <w:rPr>
                <w:noProof/>
                <w:webHidden/>
              </w:rPr>
            </w:r>
            <w:r w:rsidR="00697B2E">
              <w:rPr>
                <w:noProof/>
                <w:webHidden/>
              </w:rPr>
              <w:fldChar w:fldCharType="separate"/>
            </w:r>
            <w:r w:rsidR="00C20D83">
              <w:rPr>
                <w:noProof/>
                <w:webHidden/>
              </w:rPr>
              <w:t>12</w:t>
            </w:r>
            <w:r w:rsidR="00697B2E">
              <w:rPr>
                <w:noProof/>
                <w:webHidden/>
              </w:rPr>
              <w:fldChar w:fldCharType="end"/>
            </w:r>
          </w:hyperlink>
        </w:p>
        <w:p w:rsidR="00124D27" w:rsidRDefault="00E32F9F">
          <w:pPr>
            <w:pStyle w:val="TOC1"/>
            <w:tabs>
              <w:tab w:val="right" w:leader="dot" w:pos="9016"/>
            </w:tabs>
            <w:rPr>
              <w:rFonts w:asciiTheme="minorHAnsi" w:eastAsiaTheme="minorEastAsia" w:hAnsiTheme="minorHAnsi" w:cstheme="minorBidi"/>
              <w:noProof/>
              <w:szCs w:val="22"/>
              <w:lang w:eastAsia="en-AU"/>
            </w:rPr>
          </w:pPr>
          <w:hyperlink w:anchor="_Toc374595986" w:history="1">
            <w:r w:rsidR="00124D27" w:rsidRPr="008E74CC">
              <w:rPr>
                <w:rStyle w:val="Hyperlink"/>
                <w:rFonts w:eastAsiaTheme="majorEastAsia"/>
                <w:noProof/>
              </w:rPr>
              <w:t>The Strategy</w:t>
            </w:r>
            <w:r w:rsidR="00124D27">
              <w:rPr>
                <w:noProof/>
                <w:webHidden/>
              </w:rPr>
              <w:tab/>
            </w:r>
            <w:r w:rsidR="00697B2E">
              <w:rPr>
                <w:noProof/>
                <w:webHidden/>
              </w:rPr>
              <w:fldChar w:fldCharType="begin"/>
            </w:r>
            <w:r w:rsidR="00124D27">
              <w:rPr>
                <w:noProof/>
                <w:webHidden/>
              </w:rPr>
              <w:instrText xml:space="preserve"> PAGEREF _Toc374595986 \h </w:instrText>
            </w:r>
            <w:r w:rsidR="00697B2E">
              <w:rPr>
                <w:noProof/>
                <w:webHidden/>
              </w:rPr>
            </w:r>
            <w:r w:rsidR="00697B2E">
              <w:rPr>
                <w:noProof/>
                <w:webHidden/>
              </w:rPr>
              <w:fldChar w:fldCharType="separate"/>
            </w:r>
            <w:r w:rsidR="00C20D83">
              <w:rPr>
                <w:noProof/>
                <w:webHidden/>
              </w:rPr>
              <w:t>13</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87" w:history="1">
            <w:r w:rsidR="00124D27" w:rsidRPr="008E74CC">
              <w:rPr>
                <w:rStyle w:val="Hyperlink"/>
                <w:rFonts w:eastAsiaTheme="majorEastAsia"/>
                <w:noProof/>
              </w:rPr>
              <w:t>Strategic direction 1: Understanding cultures</w:t>
            </w:r>
            <w:r w:rsidR="00124D27">
              <w:rPr>
                <w:noProof/>
                <w:webHidden/>
              </w:rPr>
              <w:tab/>
            </w:r>
            <w:r w:rsidR="00697B2E">
              <w:rPr>
                <w:noProof/>
                <w:webHidden/>
              </w:rPr>
              <w:fldChar w:fldCharType="begin"/>
            </w:r>
            <w:r w:rsidR="00124D27">
              <w:rPr>
                <w:noProof/>
                <w:webHidden/>
              </w:rPr>
              <w:instrText xml:space="preserve"> PAGEREF _Toc374595987 \h </w:instrText>
            </w:r>
            <w:r w:rsidR="00697B2E">
              <w:rPr>
                <w:noProof/>
                <w:webHidden/>
              </w:rPr>
            </w:r>
            <w:r w:rsidR="00697B2E">
              <w:rPr>
                <w:noProof/>
                <w:webHidden/>
              </w:rPr>
              <w:fldChar w:fldCharType="separate"/>
            </w:r>
            <w:r w:rsidR="00C20D83">
              <w:rPr>
                <w:noProof/>
                <w:webHidden/>
              </w:rPr>
              <w:t>13</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88" w:history="1">
            <w:r w:rsidR="00124D27" w:rsidRPr="008E74CC">
              <w:rPr>
                <w:rStyle w:val="Hyperlink"/>
                <w:rFonts w:eastAsiaTheme="majorEastAsia"/>
                <w:noProof/>
              </w:rPr>
              <w:t>Strategic direction 2: Better data, better responsiveness</w:t>
            </w:r>
            <w:r w:rsidR="00124D27">
              <w:rPr>
                <w:noProof/>
                <w:webHidden/>
              </w:rPr>
              <w:tab/>
            </w:r>
            <w:r w:rsidR="00697B2E">
              <w:rPr>
                <w:noProof/>
                <w:webHidden/>
              </w:rPr>
              <w:fldChar w:fldCharType="begin"/>
            </w:r>
            <w:r w:rsidR="00124D27">
              <w:rPr>
                <w:noProof/>
                <w:webHidden/>
              </w:rPr>
              <w:instrText xml:space="preserve"> PAGEREF _Toc374595988 \h </w:instrText>
            </w:r>
            <w:r w:rsidR="00697B2E">
              <w:rPr>
                <w:noProof/>
                <w:webHidden/>
              </w:rPr>
            </w:r>
            <w:r w:rsidR="00697B2E">
              <w:rPr>
                <w:noProof/>
                <w:webHidden/>
              </w:rPr>
              <w:fldChar w:fldCharType="separate"/>
            </w:r>
            <w:r w:rsidR="00C20D83">
              <w:rPr>
                <w:noProof/>
                <w:webHidden/>
              </w:rPr>
              <w:t>14</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89" w:history="1">
            <w:r w:rsidR="00124D27" w:rsidRPr="008E74CC">
              <w:rPr>
                <w:rStyle w:val="Hyperlink"/>
                <w:rFonts w:eastAsiaTheme="majorEastAsia"/>
                <w:noProof/>
              </w:rPr>
              <w:t>Strategic direction 3: Easier Access and Entry Points</w:t>
            </w:r>
            <w:r w:rsidR="00124D27">
              <w:rPr>
                <w:noProof/>
                <w:webHidden/>
              </w:rPr>
              <w:tab/>
            </w:r>
            <w:r w:rsidR="00697B2E">
              <w:rPr>
                <w:noProof/>
                <w:webHidden/>
              </w:rPr>
              <w:fldChar w:fldCharType="begin"/>
            </w:r>
            <w:r w:rsidR="00124D27">
              <w:rPr>
                <w:noProof/>
                <w:webHidden/>
              </w:rPr>
              <w:instrText xml:space="preserve"> PAGEREF _Toc374595989 \h </w:instrText>
            </w:r>
            <w:r w:rsidR="00697B2E">
              <w:rPr>
                <w:noProof/>
                <w:webHidden/>
              </w:rPr>
            </w:r>
            <w:r w:rsidR="00697B2E">
              <w:rPr>
                <w:noProof/>
                <w:webHidden/>
              </w:rPr>
              <w:fldChar w:fldCharType="separate"/>
            </w:r>
            <w:r w:rsidR="00C20D83">
              <w:rPr>
                <w:noProof/>
                <w:webHidden/>
              </w:rPr>
              <w:t>15</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90" w:history="1">
            <w:r w:rsidR="00124D27" w:rsidRPr="008E74CC">
              <w:rPr>
                <w:rStyle w:val="Hyperlink"/>
                <w:rFonts w:eastAsiaTheme="majorEastAsia"/>
                <w:noProof/>
              </w:rPr>
              <w:t>Strategic direction 4: Sharing information and resources</w:t>
            </w:r>
            <w:r w:rsidR="00124D27">
              <w:rPr>
                <w:noProof/>
                <w:webHidden/>
              </w:rPr>
              <w:tab/>
            </w:r>
            <w:r w:rsidR="00697B2E">
              <w:rPr>
                <w:noProof/>
                <w:webHidden/>
              </w:rPr>
              <w:fldChar w:fldCharType="begin"/>
            </w:r>
            <w:r w:rsidR="00124D27">
              <w:rPr>
                <w:noProof/>
                <w:webHidden/>
              </w:rPr>
              <w:instrText xml:space="preserve"> PAGEREF _Toc374595990 \h </w:instrText>
            </w:r>
            <w:r w:rsidR="00697B2E">
              <w:rPr>
                <w:noProof/>
                <w:webHidden/>
              </w:rPr>
            </w:r>
            <w:r w:rsidR="00697B2E">
              <w:rPr>
                <w:noProof/>
                <w:webHidden/>
              </w:rPr>
              <w:fldChar w:fldCharType="separate"/>
            </w:r>
            <w:r w:rsidR="00C20D83">
              <w:rPr>
                <w:noProof/>
                <w:webHidden/>
              </w:rPr>
              <w:t>16</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91" w:history="1">
            <w:r w:rsidR="00124D27" w:rsidRPr="008E74CC">
              <w:rPr>
                <w:rStyle w:val="Hyperlink"/>
                <w:rFonts w:eastAsiaTheme="majorEastAsia"/>
                <w:noProof/>
              </w:rPr>
              <w:t>Strategic direction 5: Governance and measurement</w:t>
            </w:r>
            <w:r w:rsidR="00124D27">
              <w:rPr>
                <w:noProof/>
                <w:webHidden/>
              </w:rPr>
              <w:tab/>
            </w:r>
            <w:r w:rsidR="00697B2E">
              <w:rPr>
                <w:noProof/>
                <w:webHidden/>
              </w:rPr>
              <w:fldChar w:fldCharType="begin"/>
            </w:r>
            <w:r w:rsidR="00124D27">
              <w:rPr>
                <w:noProof/>
                <w:webHidden/>
              </w:rPr>
              <w:instrText xml:space="preserve"> PAGEREF _Toc374595991 \h </w:instrText>
            </w:r>
            <w:r w:rsidR="00697B2E">
              <w:rPr>
                <w:noProof/>
                <w:webHidden/>
              </w:rPr>
            </w:r>
            <w:r w:rsidR="00697B2E">
              <w:rPr>
                <w:noProof/>
                <w:webHidden/>
              </w:rPr>
              <w:fldChar w:fldCharType="separate"/>
            </w:r>
            <w:r w:rsidR="00C20D83">
              <w:rPr>
                <w:noProof/>
                <w:webHidden/>
              </w:rPr>
              <w:t>17</w:t>
            </w:r>
            <w:r w:rsidR="00697B2E">
              <w:rPr>
                <w:noProof/>
                <w:webHidden/>
              </w:rPr>
              <w:fldChar w:fldCharType="end"/>
            </w:r>
          </w:hyperlink>
        </w:p>
        <w:p w:rsidR="00124D27" w:rsidRDefault="00E32F9F">
          <w:pPr>
            <w:pStyle w:val="TOC1"/>
            <w:tabs>
              <w:tab w:val="right" w:leader="dot" w:pos="9016"/>
            </w:tabs>
            <w:rPr>
              <w:rFonts w:asciiTheme="minorHAnsi" w:eastAsiaTheme="minorEastAsia" w:hAnsiTheme="minorHAnsi" w:cstheme="minorBidi"/>
              <w:noProof/>
              <w:szCs w:val="22"/>
              <w:lang w:eastAsia="en-AU"/>
            </w:rPr>
          </w:pPr>
          <w:hyperlink w:anchor="_Toc374595992" w:history="1">
            <w:r w:rsidR="00124D27" w:rsidRPr="008E74CC">
              <w:rPr>
                <w:rStyle w:val="Hyperlink"/>
                <w:rFonts w:eastAsiaTheme="majorEastAsia"/>
                <w:noProof/>
              </w:rPr>
              <w:t>Appendices</w:t>
            </w:r>
            <w:r w:rsidR="00124D27">
              <w:rPr>
                <w:noProof/>
                <w:webHidden/>
              </w:rPr>
              <w:tab/>
            </w:r>
            <w:r w:rsidR="00697B2E">
              <w:rPr>
                <w:noProof/>
                <w:webHidden/>
              </w:rPr>
              <w:fldChar w:fldCharType="begin"/>
            </w:r>
            <w:r w:rsidR="00124D27">
              <w:rPr>
                <w:noProof/>
                <w:webHidden/>
              </w:rPr>
              <w:instrText xml:space="preserve"> PAGEREF _Toc374595992 \h </w:instrText>
            </w:r>
            <w:r w:rsidR="00697B2E">
              <w:rPr>
                <w:noProof/>
                <w:webHidden/>
              </w:rPr>
            </w:r>
            <w:r w:rsidR="00697B2E">
              <w:rPr>
                <w:noProof/>
                <w:webHidden/>
              </w:rPr>
              <w:fldChar w:fldCharType="separate"/>
            </w:r>
            <w:r w:rsidR="00C20D83">
              <w:rPr>
                <w:noProof/>
                <w:webHidden/>
              </w:rPr>
              <w:t>18</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93" w:history="1">
            <w:r w:rsidR="00124D27" w:rsidRPr="008E74CC">
              <w:rPr>
                <w:rStyle w:val="Hyperlink"/>
                <w:rFonts w:eastAsiaTheme="majorEastAsia"/>
                <w:noProof/>
              </w:rPr>
              <w:t xml:space="preserve">A: </w:t>
            </w:r>
            <w:r w:rsidR="00124D27">
              <w:rPr>
                <w:rFonts w:asciiTheme="minorHAnsi" w:eastAsiaTheme="minorEastAsia" w:hAnsiTheme="minorHAnsi" w:cstheme="minorBidi"/>
                <w:noProof/>
                <w:szCs w:val="22"/>
                <w:lang w:eastAsia="en-AU"/>
              </w:rPr>
              <w:tab/>
            </w:r>
            <w:r w:rsidR="00124D27" w:rsidRPr="008E74CC">
              <w:rPr>
                <w:rStyle w:val="Hyperlink"/>
                <w:rFonts w:eastAsiaTheme="majorEastAsia"/>
                <w:noProof/>
              </w:rPr>
              <w:t>Workshop participants</w:t>
            </w:r>
            <w:r w:rsidR="00124D27">
              <w:rPr>
                <w:noProof/>
                <w:webHidden/>
              </w:rPr>
              <w:tab/>
            </w:r>
            <w:r w:rsidR="00697B2E">
              <w:rPr>
                <w:noProof/>
                <w:webHidden/>
              </w:rPr>
              <w:fldChar w:fldCharType="begin"/>
            </w:r>
            <w:r w:rsidR="00124D27">
              <w:rPr>
                <w:noProof/>
                <w:webHidden/>
              </w:rPr>
              <w:instrText xml:space="preserve"> PAGEREF _Toc374595993 \h </w:instrText>
            </w:r>
            <w:r w:rsidR="00697B2E">
              <w:rPr>
                <w:noProof/>
                <w:webHidden/>
              </w:rPr>
            </w:r>
            <w:r w:rsidR="00697B2E">
              <w:rPr>
                <w:noProof/>
                <w:webHidden/>
              </w:rPr>
              <w:fldChar w:fldCharType="separate"/>
            </w:r>
            <w:r w:rsidR="00C20D83">
              <w:rPr>
                <w:noProof/>
                <w:webHidden/>
              </w:rPr>
              <w:t>18</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94" w:history="1">
            <w:r w:rsidR="00124D27" w:rsidRPr="008E74CC">
              <w:rPr>
                <w:rStyle w:val="Hyperlink"/>
                <w:rFonts w:eastAsiaTheme="majorEastAsia"/>
                <w:noProof/>
              </w:rPr>
              <w:t xml:space="preserve">B: </w:t>
            </w:r>
            <w:r w:rsidR="00124D27">
              <w:rPr>
                <w:rFonts w:asciiTheme="minorHAnsi" w:eastAsiaTheme="minorEastAsia" w:hAnsiTheme="minorHAnsi" w:cstheme="minorBidi"/>
                <w:noProof/>
                <w:szCs w:val="22"/>
                <w:lang w:eastAsia="en-AU"/>
              </w:rPr>
              <w:tab/>
            </w:r>
            <w:r w:rsidR="00124D27" w:rsidRPr="008E74CC">
              <w:rPr>
                <w:rStyle w:val="Hyperlink"/>
                <w:rFonts w:eastAsiaTheme="majorEastAsia"/>
                <w:noProof/>
              </w:rPr>
              <w:t>Comparison of languages spoken with borrowings</w:t>
            </w:r>
            <w:r w:rsidR="00124D27">
              <w:rPr>
                <w:noProof/>
                <w:webHidden/>
              </w:rPr>
              <w:tab/>
            </w:r>
            <w:r w:rsidR="00697B2E">
              <w:rPr>
                <w:noProof/>
                <w:webHidden/>
              </w:rPr>
              <w:fldChar w:fldCharType="begin"/>
            </w:r>
            <w:r w:rsidR="00124D27">
              <w:rPr>
                <w:noProof/>
                <w:webHidden/>
              </w:rPr>
              <w:instrText xml:space="preserve"> PAGEREF _Toc374595994 \h </w:instrText>
            </w:r>
            <w:r w:rsidR="00697B2E">
              <w:rPr>
                <w:noProof/>
                <w:webHidden/>
              </w:rPr>
            </w:r>
            <w:r w:rsidR="00697B2E">
              <w:rPr>
                <w:noProof/>
                <w:webHidden/>
              </w:rPr>
              <w:fldChar w:fldCharType="separate"/>
            </w:r>
            <w:r w:rsidR="00C20D83">
              <w:rPr>
                <w:noProof/>
                <w:webHidden/>
              </w:rPr>
              <w:t>19</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95" w:history="1">
            <w:r w:rsidR="00124D27" w:rsidRPr="008E74CC">
              <w:rPr>
                <w:rStyle w:val="Hyperlink"/>
                <w:rFonts w:eastAsiaTheme="majorEastAsia"/>
                <w:noProof/>
              </w:rPr>
              <w:t xml:space="preserve">C: </w:t>
            </w:r>
            <w:r w:rsidR="00124D27">
              <w:rPr>
                <w:rFonts w:asciiTheme="minorHAnsi" w:eastAsiaTheme="minorEastAsia" w:hAnsiTheme="minorHAnsi" w:cstheme="minorBidi"/>
                <w:noProof/>
                <w:szCs w:val="22"/>
                <w:lang w:eastAsia="en-AU"/>
              </w:rPr>
              <w:tab/>
            </w:r>
            <w:r w:rsidR="00124D27" w:rsidRPr="008E74CC">
              <w:rPr>
                <w:rStyle w:val="Hyperlink"/>
                <w:rFonts w:eastAsiaTheme="majorEastAsia"/>
                <w:noProof/>
              </w:rPr>
              <w:t>Total LOTE borrowings per Council, 2011-2012</w:t>
            </w:r>
            <w:r w:rsidR="00124D27">
              <w:rPr>
                <w:noProof/>
                <w:webHidden/>
              </w:rPr>
              <w:tab/>
            </w:r>
            <w:r w:rsidR="00697B2E">
              <w:rPr>
                <w:noProof/>
                <w:webHidden/>
              </w:rPr>
              <w:fldChar w:fldCharType="begin"/>
            </w:r>
            <w:r w:rsidR="00124D27">
              <w:rPr>
                <w:noProof/>
                <w:webHidden/>
              </w:rPr>
              <w:instrText xml:space="preserve"> PAGEREF _Toc374595995 \h </w:instrText>
            </w:r>
            <w:r w:rsidR="00697B2E">
              <w:rPr>
                <w:noProof/>
                <w:webHidden/>
              </w:rPr>
            </w:r>
            <w:r w:rsidR="00697B2E">
              <w:rPr>
                <w:noProof/>
                <w:webHidden/>
              </w:rPr>
              <w:fldChar w:fldCharType="separate"/>
            </w:r>
            <w:r w:rsidR="00C20D83">
              <w:rPr>
                <w:noProof/>
                <w:webHidden/>
              </w:rPr>
              <w:t>20</w:t>
            </w:r>
            <w:r w:rsidR="00697B2E">
              <w:rPr>
                <w:noProof/>
                <w:webHidden/>
              </w:rPr>
              <w:fldChar w:fldCharType="end"/>
            </w:r>
          </w:hyperlink>
        </w:p>
        <w:p w:rsidR="00124D27" w:rsidRDefault="00E32F9F">
          <w:pPr>
            <w:pStyle w:val="TOC2"/>
            <w:rPr>
              <w:rFonts w:asciiTheme="minorHAnsi" w:eastAsiaTheme="minorEastAsia" w:hAnsiTheme="minorHAnsi" w:cstheme="minorBidi"/>
              <w:noProof/>
              <w:szCs w:val="22"/>
              <w:lang w:eastAsia="en-AU"/>
            </w:rPr>
          </w:pPr>
          <w:hyperlink w:anchor="_Toc374595996" w:history="1">
            <w:r w:rsidR="00124D27" w:rsidRPr="008E74CC">
              <w:rPr>
                <w:rStyle w:val="Hyperlink"/>
                <w:rFonts w:eastAsiaTheme="majorEastAsia"/>
                <w:noProof/>
              </w:rPr>
              <w:t xml:space="preserve">D: </w:t>
            </w:r>
            <w:r w:rsidR="00124D27">
              <w:rPr>
                <w:rFonts w:asciiTheme="minorHAnsi" w:eastAsiaTheme="minorEastAsia" w:hAnsiTheme="minorHAnsi" w:cstheme="minorBidi"/>
                <w:noProof/>
                <w:szCs w:val="22"/>
                <w:lang w:eastAsia="en-AU"/>
              </w:rPr>
              <w:tab/>
            </w:r>
            <w:r w:rsidR="0019202B" w:rsidRPr="0019202B">
              <w:rPr>
                <w:rStyle w:val="Hyperlink"/>
                <w:rFonts w:eastAsiaTheme="majorEastAsia"/>
                <w:noProof/>
              </w:rPr>
              <w:t>SA Library Services. Contribution to the Community Languages Levy</w:t>
            </w:r>
            <w:r w:rsidR="00124D27">
              <w:rPr>
                <w:noProof/>
                <w:webHidden/>
              </w:rPr>
              <w:tab/>
            </w:r>
            <w:r w:rsidR="00697B2E">
              <w:rPr>
                <w:noProof/>
                <w:webHidden/>
              </w:rPr>
              <w:fldChar w:fldCharType="begin"/>
            </w:r>
            <w:r w:rsidR="00124D27">
              <w:rPr>
                <w:noProof/>
                <w:webHidden/>
              </w:rPr>
              <w:instrText xml:space="preserve"> PAGEREF _Toc374595996 \h </w:instrText>
            </w:r>
            <w:r w:rsidR="00697B2E">
              <w:rPr>
                <w:noProof/>
                <w:webHidden/>
              </w:rPr>
            </w:r>
            <w:r w:rsidR="00697B2E">
              <w:rPr>
                <w:noProof/>
                <w:webHidden/>
              </w:rPr>
              <w:fldChar w:fldCharType="separate"/>
            </w:r>
            <w:r w:rsidR="00C20D83">
              <w:rPr>
                <w:noProof/>
                <w:webHidden/>
              </w:rPr>
              <w:t>21</w:t>
            </w:r>
            <w:r w:rsidR="00697B2E">
              <w:rPr>
                <w:noProof/>
                <w:webHidden/>
              </w:rPr>
              <w:fldChar w:fldCharType="end"/>
            </w:r>
          </w:hyperlink>
        </w:p>
        <w:p w:rsidR="00124D27" w:rsidRDefault="00E32F9F">
          <w:pPr>
            <w:pStyle w:val="TOC2"/>
            <w:rPr>
              <w:noProof/>
            </w:rPr>
          </w:pPr>
          <w:hyperlink w:anchor="_Toc374595997" w:history="1">
            <w:r w:rsidR="00124D27" w:rsidRPr="008E74CC">
              <w:rPr>
                <w:rStyle w:val="Hyperlink"/>
                <w:rFonts w:eastAsiaTheme="majorEastAsia"/>
                <w:noProof/>
              </w:rPr>
              <w:t>E:</w:t>
            </w:r>
            <w:r w:rsidR="00124D27">
              <w:rPr>
                <w:rFonts w:asciiTheme="minorHAnsi" w:eastAsiaTheme="minorEastAsia" w:hAnsiTheme="minorHAnsi" w:cstheme="minorBidi"/>
                <w:noProof/>
                <w:szCs w:val="22"/>
                <w:lang w:eastAsia="en-AU"/>
              </w:rPr>
              <w:tab/>
            </w:r>
            <w:r w:rsidR="0019202B">
              <w:rPr>
                <w:rStyle w:val="Hyperlink"/>
                <w:rFonts w:eastAsiaTheme="majorEastAsia"/>
                <w:noProof/>
              </w:rPr>
              <w:t>Issues to address in the Strategy</w:t>
            </w:r>
            <w:r w:rsidR="00124D27">
              <w:rPr>
                <w:noProof/>
                <w:webHidden/>
              </w:rPr>
              <w:tab/>
            </w:r>
            <w:r w:rsidR="00697B2E">
              <w:rPr>
                <w:noProof/>
                <w:webHidden/>
              </w:rPr>
              <w:fldChar w:fldCharType="begin"/>
            </w:r>
            <w:r w:rsidR="00124D27">
              <w:rPr>
                <w:noProof/>
                <w:webHidden/>
              </w:rPr>
              <w:instrText xml:space="preserve"> PAGEREF _Toc374595997 \h </w:instrText>
            </w:r>
            <w:r w:rsidR="00697B2E">
              <w:rPr>
                <w:noProof/>
                <w:webHidden/>
              </w:rPr>
            </w:r>
            <w:r w:rsidR="00697B2E">
              <w:rPr>
                <w:noProof/>
                <w:webHidden/>
              </w:rPr>
              <w:fldChar w:fldCharType="separate"/>
            </w:r>
            <w:r w:rsidR="00C20D83">
              <w:rPr>
                <w:noProof/>
                <w:webHidden/>
              </w:rPr>
              <w:t>26</w:t>
            </w:r>
            <w:r w:rsidR="00697B2E">
              <w:rPr>
                <w:noProof/>
                <w:webHidden/>
              </w:rPr>
              <w:fldChar w:fldCharType="end"/>
            </w:r>
          </w:hyperlink>
        </w:p>
        <w:p w:rsidR="00F12798" w:rsidRDefault="00AD4D2F" w:rsidP="00F12798">
          <w:pPr>
            <w:ind w:firstLine="220"/>
            <w:rPr>
              <w:noProof/>
              <w:webHidden/>
            </w:rPr>
          </w:pPr>
          <w:r>
            <w:rPr>
              <w:rFonts w:eastAsiaTheme="minorEastAsia"/>
              <w:noProof/>
            </w:rPr>
            <w:t>F</w:t>
          </w:r>
          <w:r w:rsidRPr="00AD4D2F">
            <w:rPr>
              <w:rFonts w:eastAsiaTheme="minorEastAsia"/>
              <w:noProof/>
            </w:rPr>
            <w:t>:</w:t>
          </w:r>
          <w:r w:rsidRPr="00AD4D2F">
            <w:rPr>
              <w:rFonts w:eastAsiaTheme="minorEastAsia"/>
              <w:noProof/>
            </w:rPr>
            <w:tab/>
          </w:r>
          <w:r>
            <w:rPr>
              <w:rFonts w:eastAsiaTheme="minorEastAsia"/>
              <w:noProof/>
            </w:rPr>
            <w:t xml:space="preserve">   </w:t>
          </w:r>
          <w:r w:rsidR="0019202B">
            <w:rPr>
              <w:rFonts w:eastAsiaTheme="minorEastAsia"/>
              <w:noProof/>
            </w:rPr>
            <w:t xml:space="preserve">Good Practice: </w:t>
          </w:r>
          <w:r w:rsidRPr="00AD4D2F">
            <w:rPr>
              <w:rFonts w:eastAsiaTheme="minorEastAsia"/>
              <w:noProof/>
            </w:rPr>
            <w:t>What are we doing well?</w:t>
          </w:r>
          <w:r w:rsidRPr="00AD4D2F">
            <w:rPr>
              <w:noProof/>
              <w:webHidden/>
            </w:rPr>
            <w:t xml:space="preserve"> </w:t>
          </w:r>
          <w:r>
            <w:rPr>
              <w:noProof/>
              <w:webHidden/>
            </w:rPr>
            <w:t>……………………………………………………………….</w:t>
          </w:r>
          <w:r w:rsidRPr="00AD4D2F">
            <w:rPr>
              <w:noProof/>
              <w:webHidden/>
            </w:rPr>
            <w:tab/>
          </w:r>
          <w:r w:rsidRPr="00AD4D2F">
            <w:rPr>
              <w:noProof/>
              <w:webHidden/>
            </w:rPr>
            <w:fldChar w:fldCharType="begin"/>
          </w:r>
          <w:r w:rsidRPr="00AD4D2F">
            <w:rPr>
              <w:noProof/>
              <w:webHidden/>
            </w:rPr>
            <w:instrText xml:space="preserve"> PAGEREF _Toc374595997 \h </w:instrText>
          </w:r>
          <w:r w:rsidRPr="00AD4D2F">
            <w:rPr>
              <w:noProof/>
              <w:webHidden/>
            </w:rPr>
          </w:r>
          <w:r w:rsidRPr="00AD4D2F">
            <w:rPr>
              <w:noProof/>
              <w:webHidden/>
            </w:rPr>
            <w:fldChar w:fldCharType="separate"/>
          </w:r>
          <w:r w:rsidR="00C20D83">
            <w:rPr>
              <w:noProof/>
              <w:webHidden/>
            </w:rPr>
            <w:t>26</w:t>
          </w:r>
          <w:r w:rsidRPr="00AD4D2F">
            <w:rPr>
              <w:noProof/>
              <w:webHidden/>
            </w:rPr>
            <w:fldChar w:fldCharType="end"/>
          </w:r>
        </w:p>
        <w:p w:rsidR="0019202B" w:rsidRPr="00AD4D2F" w:rsidRDefault="0019202B" w:rsidP="00AD4D2F">
          <w:pPr>
            <w:ind w:firstLine="220"/>
            <w:rPr>
              <w:noProof/>
            </w:rPr>
          </w:pPr>
          <w:r>
            <w:rPr>
              <w:noProof/>
              <w:webHidden/>
            </w:rPr>
            <w:t>G:</w:t>
          </w:r>
          <w:r>
            <w:rPr>
              <w:noProof/>
              <w:webHidden/>
            </w:rPr>
            <w:tab/>
            <w:t xml:space="preserve">   Glossary………………………………………………………………………………………………………………</w:t>
          </w:r>
          <w:r w:rsidR="003D4770">
            <w:rPr>
              <w:noProof/>
              <w:webHidden/>
            </w:rPr>
            <w:t>2</w:t>
          </w:r>
          <w:r w:rsidR="008652C9">
            <w:rPr>
              <w:noProof/>
              <w:webHidden/>
            </w:rPr>
            <w:t>7</w:t>
          </w:r>
        </w:p>
        <w:p w:rsidR="005B7BC4" w:rsidRDefault="00697B2E">
          <w:r>
            <w:fldChar w:fldCharType="end"/>
          </w:r>
        </w:p>
      </w:sdtContent>
    </w:sdt>
    <w:p w:rsidR="00DA7492" w:rsidRDefault="00DA7492">
      <w:pPr>
        <w:spacing w:before="0" w:after="0" w:line="240" w:lineRule="auto"/>
        <w:rPr>
          <w:rFonts w:asciiTheme="majorHAnsi" w:eastAsiaTheme="majorEastAsia" w:hAnsiTheme="majorHAnsi" w:cstheme="majorBidi"/>
          <w:iCs/>
          <w:color w:val="244061" w:themeColor="accent1" w:themeShade="80"/>
          <w:kern w:val="32"/>
          <w:sz w:val="32"/>
          <w:szCs w:val="32"/>
        </w:rPr>
      </w:pPr>
      <w:r>
        <w:br w:type="page"/>
      </w:r>
    </w:p>
    <w:p w:rsidR="005B7BC4" w:rsidRDefault="005B7BC4" w:rsidP="005B7BC4">
      <w:pPr>
        <w:pStyle w:val="Heading1"/>
      </w:pPr>
      <w:bookmarkStart w:id="0" w:name="_Toc374595971"/>
      <w:r>
        <w:t>Introduction</w:t>
      </w:r>
      <w:bookmarkEnd w:id="0"/>
    </w:p>
    <w:p w:rsidR="0040240E" w:rsidRPr="0040240E" w:rsidRDefault="0040240E" w:rsidP="0040240E">
      <w:r w:rsidRPr="0040240E">
        <w:t xml:space="preserve">South Australia is home to some </w:t>
      </w:r>
      <w:r w:rsidR="00BD14B5">
        <w:t>2</w:t>
      </w:r>
      <w:r w:rsidR="00EA467E">
        <w:t>35</w:t>
      </w:r>
      <w:r w:rsidRPr="0040240E">
        <w:t xml:space="preserve"> different</w:t>
      </w:r>
      <w:r w:rsidR="00BD14B5">
        <w:t xml:space="preserve"> language groups</w:t>
      </w:r>
      <w:r w:rsidRPr="0040240E">
        <w:t xml:space="preserve">, and </w:t>
      </w:r>
      <w:r w:rsidR="00EA467E">
        <w:t>18</w:t>
      </w:r>
      <w:r w:rsidR="00533846">
        <w:t>% of</w:t>
      </w:r>
      <w:r w:rsidRPr="0040240E">
        <w:t xml:space="preserve"> people speak a language other than English</w:t>
      </w:r>
      <w:r w:rsidR="00BD14B5">
        <w:t xml:space="preserve"> </w:t>
      </w:r>
      <w:r w:rsidR="00533846">
        <w:t>at home</w:t>
      </w:r>
      <w:r w:rsidR="00A64A0D">
        <w:t xml:space="preserve"> (2011 Census)</w:t>
      </w:r>
      <w:r w:rsidRPr="0040240E">
        <w:t xml:space="preserve">. </w:t>
      </w:r>
    </w:p>
    <w:p w:rsidR="00CE4F53" w:rsidRDefault="0040240E" w:rsidP="0040240E">
      <w:r w:rsidRPr="0040240E">
        <w:t>The Public Library Network in South Australia believes that all member</w:t>
      </w:r>
      <w:r>
        <w:t>s of the community should have a</w:t>
      </w:r>
      <w:r w:rsidRPr="0040240E">
        <w:t xml:space="preserve">ccess to materials which will meet their needs, regardless of their language, cultural </w:t>
      </w:r>
      <w:r>
        <w:t>background or country of origin, including acc</w:t>
      </w:r>
      <w:r w:rsidRPr="0040240E">
        <w:t>ess to materials in Languages other than English</w:t>
      </w:r>
      <w:r w:rsidR="00A64A0D">
        <w:t xml:space="preserve"> (LOTE)</w:t>
      </w:r>
      <w:r w:rsidRPr="0040240E">
        <w:t xml:space="preserve">, whether this be for the purpose of language and cultural maintenance, language learning or to enrich the cultural and linguistic diversity within South Australia </w:t>
      </w:r>
      <w:r>
        <w:t>(PLS Community Languages Collection Development Policy, February 2011).</w:t>
      </w:r>
    </w:p>
    <w:p w:rsidR="00CE4F53" w:rsidRDefault="00CE4F53" w:rsidP="0040240E">
      <w:r>
        <w:t xml:space="preserve">For many years, </w:t>
      </w:r>
      <w:r w:rsidR="00E94AD8">
        <w:t xml:space="preserve">the </w:t>
      </w:r>
      <w:r>
        <w:rPr>
          <w:i/>
        </w:rPr>
        <w:t>Community Languages</w:t>
      </w:r>
      <w:r>
        <w:t xml:space="preserve"> collection has been </w:t>
      </w:r>
      <w:r w:rsidR="00D11CD9">
        <w:t>administered</w:t>
      </w:r>
      <w:r>
        <w:t xml:space="preserve"> by a group of libraries </w:t>
      </w:r>
      <w:r w:rsidR="009D1152">
        <w:t xml:space="preserve">located in </w:t>
      </w:r>
      <w:r w:rsidR="00CF04B0">
        <w:t>communities</w:t>
      </w:r>
      <w:r w:rsidR="009D1152">
        <w:t xml:space="preserve"> with large numbers of residents from non English speaking backgrounds</w:t>
      </w:r>
      <w:r w:rsidR="00D11CD9">
        <w:t xml:space="preserve"> - guided by the </w:t>
      </w:r>
      <w:r w:rsidR="00904C80">
        <w:t>Community Languages Steering Committee</w:t>
      </w:r>
      <w:r w:rsidR="00D11CD9">
        <w:t xml:space="preserve"> and the Community Languages Operating Committee</w:t>
      </w:r>
      <w:r w:rsidR="009D1152">
        <w:t xml:space="preserve">. In recent times, migration patterns to South Australia have changed, resulting in many new languages and migrants settling in </w:t>
      </w:r>
      <w:r w:rsidR="00CF04B0">
        <w:t>diverse</w:t>
      </w:r>
      <w:r w:rsidR="009D1152">
        <w:t xml:space="preserve"> </w:t>
      </w:r>
      <w:r w:rsidR="00CF04B0">
        <w:t>locations</w:t>
      </w:r>
      <w:r w:rsidR="00A64A0D">
        <w:t xml:space="preserve">, </w:t>
      </w:r>
      <w:r w:rsidR="009D1152">
        <w:t>including rural areas.</w:t>
      </w:r>
      <w:r w:rsidR="00CF04B0">
        <w:t xml:space="preserve"> </w:t>
      </w:r>
    </w:p>
    <w:p w:rsidR="00CF04B0" w:rsidRDefault="00CF04B0" w:rsidP="0040240E">
      <w:r>
        <w:t xml:space="preserve">Over the past two years, the One Library Management System (1LMS) has been rolling out across South Australia. The 1LMS will allow library patrons to access books from any public library, </w:t>
      </w:r>
      <w:r w:rsidR="00CF263B">
        <w:t xml:space="preserve">providing </w:t>
      </w:r>
      <w:r w:rsidR="00EF0134">
        <w:t>enhanced</w:t>
      </w:r>
      <w:r w:rsidR="00CF263B">
        <w:t xml:space="preserve"> access to</w:t>
      </w:r>
      <w:r>
        <w:t xml:space="preserve"> community language collections pre</w:t>
      </w:r>
      <w:r w:rsidR="00CF263B">
        <w:t xml:space="preserve">viously held in a few libraries with </w:t>
      </w:r>
      <w:r w:rsidR="009C6430">
        <w:t>lar</w:t>
      </w:r>
      <w:r w:rsidR="00513592">
        <w:t xml:space="preserve">ge </w:t>
      </w:r>
      <w:r w:rsidR="002F7447">
        <w:t>“</w:t>
      </w:r>
      <w:r w:rsidR="00513592">
        <w:t>English as a Second Language</w:t>
      </w:r>
      <w:r w:rsidR="002F7447">
        <w:t>”</w:t>
      </w:r>
      <w:r w:rsidR="00DF7BBF">
        <w:t xml:space="preserve"> </w:t>
      </w:r>
      <w:r w:rsidR="009C6430">
        <w:t>(ESL)</w:t>
      </w:r>
      <w:r w:rsidR="00CF263B">
        <w:t xml:space="preserve"> populations.</w:t>
      </w:r>
    </w:p>
    <w:p w:rsidR="00D92C81" w:rsidRDefault="000A6DB6" w:rsidP="0040240E">
      <w:r>
        <w:t>T</w:t>
      </w:r>
      <w:r w:rsidR="00FF41FE">
        <w:t xml:space="preserve">he convergence of new migration patterns </w:t>
      </w:r>
      <w:r>
        <w:t xml:space="preserve">at the same time as the introduction of </w:t>
      </w:r>
      <w:r w:rsidR="00FF41FE">
        <w:t xml:space="preserve">the </w:t>
      </w:r>
      <w:r w:rsidR="002F7447">
        <w:t>1 LMS</w:t>
      </w:r>
      <w:r w:rsidR="00FF41FE">
        <w:t xml:space="preserve"> </w:t>
      </w:r>
      <w:r>
        <w:t xml:space="preserve">indicates that </w:t>
      </w:r>
      <w:r w:rsidR="00FF41FE">
        <w:t>it is timely to review how community language collections and programs are offered at public libraries in South Australia.</w:t>
      </w:r>
      <w:r w:rsidR="0055085C">
        <w:t xml:space="preserve"> To this end, Dr Kristine Peters of </w:t>
      </w:r>
      <w:r w:rsidR="0055085C" w:rsidRPr="000A6DB6">
        <w:rPr>
          <w:i/>
        </w:rPr>
        <w:t>KPPM Strategy</w:t>
      </w:r>
      <w:r w:rsidR="0055085C">
        <w:t xml:space="preserve"> was engaged to facilitate a workshop of library managers and staff representing both metropolitan and rural libraries to develop a strategy for management of community languages collections and programs. </w:t>
      </w:r>
      <w:r w:rsidR="004C2D44">
        <w:t>The list of participants is shown in Appendix A.</w:t>
      </w:r>
    </w:p>
    <w:p w:rsidR="00FD39FA" w:rsidRDefault="0055085C" w:rsidP="0040240E">
      <w:r>
        <w:t>This report provides an overview of the content and outcomes of that workshop, within the context of the broader State Government</w:t>
      </w:r>
      <w:r w:rsidR="00FD39FA">
        <w:t xml:space="preserve"> multicultural agenda, and </w:t>
      </w:r>
      <w:r w:rsidR="000A6DB6">
        <w:t>presents</w:t>
      </w:r>
      <w:r w:rsidR="00FD39FA">
        <w:t xml:space="preserve"> a Community Languages Strategy that supports continual development of </w:t>
      </w:r>
      <w:r w:rsidR="004A2CC6">
        <w:t>p</w:t>
      </w:r>
      <w:r w:rsidR="00FD39FA">
        <w:t xml:space="preserve">ublic </w:t>
      </w:r>
      <w:r w:rsidR="004A2CC6">
        <w:t>libraries</w:t>
      </w:r>
      <w:r w:rsidR="00FD39FA">
        <w:t xml:space="preserve"> in South Australia.</w:t>
      </w:r>
    </w:p>
    <w:p w:rsidR="00290358" w:rsidRPr="00996AE9" w:rsidRDefault="00290358" w:rsidP="00290358">
      <w:r>
        <w:t>The</w:t>
      </w:r>
      <w:r w:rsidRPr="00996AE9">
        <w:t xml:space="preserve"> </w:t>
      </w:r>
      <w:r>
        <w:t xml:space="preserve">SA Public Library Network recognises the </w:t>
      </w:r>
      <w:r w:rsidRPr="00996AE9">
        <w:t xml:space="preserve">cultural diversity of </w:t>
      </w:r>
      <w:r>
        <w:t>South Australia's</w:t>
      </w:r>
      <w:r w:rsidRPr="00996AE9">
        <w:t xml:space="preserve"> Indigenous communities</w:t>
      </w:r>
      <w:r>
        <w:t>.</w:t>
      </w:r>
      <w:r w:rsidRPr="00996AE9">
        <w:t xml:space="preserve"> </w:t>
      </w:r>
      <w:r>
        <w:t>A</w:t>
      </w:r>
      <w:r w:rsidRPr="00996AE9">
        <w:t>s the first Australians they are unique and distinct from other culturally and ling</w:t>
      </w:r>
      <w:r>
        <w:t>uistically diverse communities. Collections and services for Aboriginal and Torres Strait Islander communities will be addressed by the SA Public Library Network under a separate Indigenous Strategy.</w:t>
      </w:r>
    </w:p>
    <w:p w:rsidR="00290358" w:rsidRDefault="00290358" w:rsidP="0040240E"/>
    <w:p w:rsidR="001A00AA" w:rsidRDefault="001A00AA">
      <w:pPr>
        <w:spacing w:before="0" w:after="0" w:line="240" w:lineRule="auto"/>
      </w:pPr>
      <w:r>
        <w:br w:type="page"/>
      </w:r>
    </w:p>
    <w:p w:rsidR="001A00AA" w:rsidRDefault="001A00AA" w:rsidP="001A00AA">
      <w:pPr>
        <w:pStyle w:val="Heading1"/>
      </w:pPr>
      <w:bookmarkStart w:id="1" w:name="_Toc374595972"/>
      <w:r>
        <w:t>The policy framework</w:t>
      </w:r>
      <w:bookmarkEnd w:id="1"/>
    </w:p>
    <w:p w:rsidR="00996AE9" w:rsidRPr="00996AE9" w:rsidRDefault="00996AE9" w:rsidP="00996AE9">
      <w:r>
        <w:t xml:space="preserve">Public Library Services' internal policies are framed by State </w:t>
      </w:r>
      <w:r w:rsidR="00127D7E">
        <w:t>and Local Government</w:t>
      </w:r>
      <w:r>
        <w:t xml:space="preserve"> policies.</w:t>
      </w:r>
    </w:p>
    <w:p w:rsidR="001462E1" w:rsidRPr="001462E1" w:rsidRDefault="001462E1" w:rsidP="001462E1">
      <w:pPr>
        <w:pStyle w:val="Heading2"/>
      </w:pPr>
      <w:bookmarkStart w:id="2" w:name="_Toc374595973"/>
      <w:r w:rsidRPr="001462E1">
        <w:t>State Government</w:t>
      </w:r>
      <w:bookmarkEnd w:id="2"/>
    </w:p>
    <w:p w:rsidR="00513592" w:rsidRDefault="00B81497" w:rsidP="00B81497">
      <w:r w:rsidRPr="00513592">
        <w:rPr>
          <w:b/>
          <w:i/>
        </w:rPr>
        <w:t>South Australia's Strategic Plan</w:t>
      </w:r>
      <w:r w:rsidR="00DB3809">
        <w:rPr>
          <w:rStyle w:val="FootnoteReference"/>
          <w:b/>
          <w:i/>
        </w:rPr>
        <w:footnoteReference w:id="1"/>
      </w:r>
      <w:r>
        <w:rPr>
          <w:i/>
        </w:rPr>
        <w:t xml:space="preserve"> </w:t>
      </w:r>
      <w:r>
        <w:t>addresses multiculturalism</w:t>
      </w:r>
      <w:r w:rsidR="00513592">
        <w:t>.</w:t>
      </w:r>
      <w:r>
        <w:t xml:space="preserve"> </w:t>
      </w:r>
    </w:p>
    <w:p w:rsidR="00513592" w:rsidRDefault="00B81497" w:rsidP="00B81497">
      <w:pPr>
        <w:rPr>
          <w:i/>
        </w:rPr>
      </w:pPr>
      <w:r>
        <w:t>Target 5</w:t>
      </w:r>
      <w:r w:rsidR="00513592">
        <w:t xml:space="preserve"> specifies</w:t>
      </w:r>
      <w:r>
        <w:t xml:space="preserve">: </w:t>
      </w:r>
      <w:r w:rsidRPr="00513592">
        <w:rPr>
          <w:i/>
        </w:rPr>
        <w:t xml:space="preserve">Maintain the high rate of South Australians who believe cultural diversity is a positive influence in the community. </w:t>
      </w:r>
    </w:p>
    <w:p w:rsidR="00513592" w:rsidRDefault="00B81497" w:rsidP="00B81497">
      <w:r>
        <w:t xml:space="preserve">The primary goal </w:t>
      </w:r>
      <w:r w:rsidR="00513592">
        <w:t xml:space="preserve">in this target </w:t>
      </w:r>
      <w:r>
        <w:t xml:space="preserve">relating to multiculturalism is: </w:t>
      </w:r>
      <w:r w:rsidRPr="00513592">
        <w:rPr>
          <w:i/>
        </w:rPr>
        <w:t>We are proud of South Australia and celebrate our diverse culture and people.</w:t>
      </w:r>
      <w:r>
        <w:t xml:space="preserve"> </w:t>
      </w:r>
    </w:p>
    <w:p w:rsidR="00F84D80" w:rsidRDefault="00B81497" w:rsidP="00B81497">
      <w:r>
        <w:t xml:space="preserve">The related goals most specifically applicable to Community Languages are: </w:t>
      </w:r>
    </w:p>
    <w:p w:rsidR="00B81497" w:rsidRDefault="00B81497" w:rsidP="00B81497">
      <w:pPr>
        <w:pStyle w:val="ListParagraph"/>
        <w:numPr>
          <w:ilvl w:val="0"/>
          <w:numId w:val="6"/>
        </w:numPr>
        <w:rPr>
          <w:i/>
        </w:rPr>
      </w:pPr>
      <w:r w:rsidRPr="00513592">
        <w:rPr>
          <w:i/>
        </w:rPr>
        <w:t>We have a sense of place, identity, belonging and purpose</w:t>
      </w:r>
    </w:p>
    <w:p w:rsidR="00B81497" w:rsidRPr="00513592" w:rsidRDefault="00B81497" w:rsidP="00B81497">
      <w:pPr>
        <w:pStyle w:val="ListParagraph"/>
        <w:numPr>
          <w:ilvl w:val="0"/>
          <w:numId w:val="6"/>
        </w:numPr>
        <w:rPr>
          <w:i/>
        </w:rPr>
      </w:pPr>
      <w:r w:rsidRPr="00513592">
        <w:rPr>
          <w:i/>
        </w:rPr>
        <w:t>Every member of the community can equally participate in learning opportunities</w:t>
      </w:r>
    </w:p>
    <w:p w:rsidR="00B81497" w:rsidRDefault="00353F63" w:rsidP="00B81497">
      <w:r>
        <w:t>Multicultural SA</w:t>
      </w:r>
      <w:r w:rsidR="00DB3809">
        <w:t xml:space="preserve"> </w:t>
      </w:r>
      <w:r>
        <w:t xml:space="preserve">is the State Government agency responsible for advising the Government on all matters relating to multicultural and ethnic affairs. </w:t>
      </w:r>
      <w:r w:rsidR="00BE25BA">
        <w:t>The Multicultural SA website</w:t>
      </w:r>
      <w:r w:rsidR="00A2389B">
        <w:rPr>
          <w:rStyle w:val="FootnoteReference"/>
        </w:rPr>
        <w:footnoteReference w:id="2"/>
      </w:r>
      <w:r w:rsidR="00BE25BA">
        <w:t xml:space="preserve"> sets out three dimensions of multicultural policy:</w:t>
      </w:r>
    </w:p>
    <w:p w:rsidR="00BE25BA" w:rsidRPr="00BE25BA" w:rsidRDefault="00BE25BA" w:rsidP="00BE25BA">
      <w:pPr>
        <w:numPr>
          <w:ilvl w:val="0"/>
          <w:numId w:val="7"/>
        </w:numPr>
        <w:spacing w:before="27" w:after="0" w:line="336" w:lineRule="atLeast"/>
        <w:ind w:left="404"/>
        <w:rPr>
          <w:lang w:eastAsia="en-AU"/>
        </w:rPr>
      </w:pPr>
      <w:r w:rsidRPr="00BE25BA">
        <w:rPr>
          <w:lang w:eastAsia="en-AU"/>
        </w:rPr>
        <w:t>cultural identity: the right of all Australians to express and share their cultural heritage, including language and religion</w:t>
      </w:r>
    </w:p>
    <w:p w:rsidR="00BE25BA" w:rsidRPr="00BE25BA" w:rsidRDefault="00BE25BA" w:rsidP="00BE25BA">
      <w:pPr>
        <w:numPr>
          <w:ilvl w:val="0"/>
          <w:numId w:val="7"/>
        </w:numPr>
        <w:spacing w:before="27" w:after="0" w:line="336" w:lineRule="atLeast"/>
        <w:ind w:left="404"/>
        <w:rPr>
          <w:lang w:eastAsia="en-AU"/>
        </w:rPr>
      </w:pPr>
      <w:r w:rsidRPr="00BE25BA">
        <w:rPr>
          <w:lang w:eastAsia="en-AU"/>
        </w:rPr>
        <w:t>social justice: the right of all Australians to equality of treatment and opportunity, and the removal of barriers of race, ethnicity, culture, religion, language, gender or place of birth</w:t>
      </w:r>
    </w:p>
    <w:p w:rsidR="00BE25BA" w:rsidRDefault="00BE25BA" w:rsidP="00BE25BA">
      <w:pPr>
        <w:numPr>
          <w:ilvl w:val="0"/>
          <w:numId w:val="7"/>
        </w:numPr>
        <w:spacing w:before="27" w:after="0" w:line="336" w:lineRule="atLeast"/>
        <w:ind w:left="404"/>
        <w:rPr>
          <w:lang w:eastAsia="en-AU"/>
        </w:rPr>
      </w:pPr>
      <w:proofErr w:type="gramStart"/>
      <w:r w:rsidRPr="00BE25BA">
        <w:rPr>
          <w:lang w:eastAsia="en-AU"/>
        </w:rPr>
        <w:t>productive</w:t>
      </w:r>
      <w:proofErr w:type="gramEnd"/>
      <w:r w:rsidRPr="00BE25BA">
        <w:rPr>
          <w:lang w:eastAsia="en-AU"/>
        </w:rPr>
        <w:t xml:space="preserve"> diversity: the need to maintain, develop and utilise effectively the skills and talents of all Australians.</w:t>
      </w:r>
    </w:p>
    <w:p w:rsidR="00CB28CC" w:rsidRDefault="00CB28CC" w:rsidP="00CB28CC">
      <w:pPr>
        <w:rPr>
          <w:lang w:eastAsia="en-AU"/>
        </w:rPr>
      </w:pPr>
    </w:p>
    <w:p w:rsidR="00CB28CC" w:rsidRDefault="00CB28CC" w:rsidP="00CB28CC">
      <w:pPr>
        <w:pStyle w:val="Heading2"/>
      </w:pPr>
      <w:bookmarkStart w:id="3" w:name="_Toc374595974"/>
      <w:r>
        <w:t>Local Government</w:t>
      </w:r>
      <w:bookmarkEnd w:id="3"/>
    </w:p>
    <w:p w:rsidR="00B62791" w:rsidRPr="00B62791" w:rsidRDefault="00FE5BE3" w:rsidP="00B62791">
      <w:pPr>
        <w:jc w:val="both"/>
      </w:pPr>
      <w:r>
        <w:t xml:space="preserve">Local Government </w:t>
      </w:r>
      <w:r w:rsidR="00CB28CC">
        <w:t>multicultural policy is</w:t>
      </w:r>
      <w:r w:rsidR="0002132B">
        <w:t xml:space="preserve"> a</w:t>
      </w:r>
      <w:r>
        <w:t xml:space="preserve"> </w:t>
      </w:r>
      <w:r w:rsidR="0002132B">
        <w:t>key</w:t>
      </w:r>
      <w:r w:rsidR="00326FC1">
        <w:t xml:space="preserve"> influence on library practices.</w:t>
      </w:r>
      <w:r>
        <w:t xml:space="preserve">  </w:t>
      </w:r>
      <w:r w:rsidR="00B62791" w:rsidRPr="00B62791">
        <w:t xml:space="preserve">Individual Councils provide a wide range of services to community members from culturally and linguistically diverse backgrounds, and may have their own policies and programs fostering multiculturalism depending on the needs of their particular communities. </w:t>
      </w:r>
      <w:r w:rsidR="00B62791">
        <w:t>Libraries are responsive to and contribute to the delivery of each Council’s multiculturalism directions.</w:t>
      </w:r>
    </w:p>
    <w:p w:rsidR="00DC2758" w:rsidRPr="00BE25BA" w:rsidRDefault="00DC2758" w:rsidP="00DC2758">
      <w:pPr>
        <w:spacing w:before="27" w:after="0" w:line="336" w:lineRule="atLeast"/>
        <w:rPr>
          <w:lang w:eastAsia="en-AU"/>
        </w:rPr>
      </w:pPr>
    </w:p>
    <w:p w:rsidR="001A00AA" w:rsidRDefault="001462E1" w:rsidP="001462E1">
      <w:pPr>
        <w:pStyle w:val="Heading2"/>
      </w:pPr>
      <w:bookmarkStart w:id="4" w:name="_Toc374595975"/>
      <w:r>
        <w:t>Public Librar</w:t>
      </w:r>
      <w:r w:rsidR="00996AE9">
        <w:t>ies SA</w:t>
      </w:r>
      <w:bookmarkEnd w:id="4"/>
    </w:p>
    <w:p w:rsidR="00B62791" w:rsidRDefault="00B62791" w:rsidP="00B62791">
      <w:r>
        <w:t xml:space="preserve">Public Libraries SA </w:t>
      </w:r>
      <w:r w:rsidR="00AD4D2F">
        <w:t xml:space="preserve">(PLSA) </w:t>
      </w:r>
      <w:r>
        <w:t xml:space="preserve">supports the provision of material in multiple languages for the benefit of </w:t>
      </w:r>
      <w:r w:rsidR="00293A68">
        <w:t xml:space="preserve">all </w:t>
      </w:r>
      <w:r>
        <w:t xml:space="preserve">library customers </w:t>
      </w:r>
      <w:r w:rsidR="00293A68">
        <w:t xml:space="preserve">and specifically those </w:t>
      </w:r>
      <w:r w:rsidR="009032EA">
        <w:t xml:space="preserve">from Culturally </w:t>
      </w:r>
      <w:r>
        <w:t>and Linguistica</w:t>
      </w:r>
      <w:r w:rsidR="00AD4D2F">
        <w:t>lly Diverse Communities (CALD). The PLSA Executive administer</w:t>
      </w:r>
      <w:r w:rsidR="00293A68">
        <w:t>s</w:t>
      </w:r>
      <w:r w:rsidR="00AD4D2F">
        <w:t xml:space="preserve"> and review</w:t>
      </w:r>
      <w:r w:rsidR="00293A68">
        <w:t>s</w:t>
      </w:r>
      <w:r w:rsidR="00AD4D2F">
        <w:t xml:space="preserve"> annual network library levies which fund the purchase of shared resource material and collections. The establishment of the Community Languages Levy indicates the high level of importance that a statewide shared multi language collection is given.</w:t>
      </w:r>
    </w:p>
    <w:p w:rsidR="00AD4D2F" w:rsidRPr="00B62791" w:rsidRDefault="00AD4D2F" w:rsidP="00B62791">
      <w:r>
        <w:t xml:space="preserve">PLSA has endorsed </w:t>
      </w:r>
      <w:r w:rsidR="00293A68">
        <w:t>a Community Languages</w:t>
      </w:r>
      <w:r w:rsidR="00821937">
        <w:t xml:space="preserve"> Collection Development </w:t>
      </w:r>
      <w:r w:rsidR="00293A68">
        <w:t xml:space="preserve">Policy and </w:t>
      </w:r>
      <w:r w:rsidR="00821937">
        <w:t>Community Languages Collection Development Pr</w:t>
      </w:r>
      <w:r w:rsidR="00293A68">
        <w:t>ocedures for managing the shared language collection.</w:t>
      </w:r>
    </w:p>
    <w:p w:rsidR="001A00AA" w:rsidRPr="0094204D" w:rsidRDefault="0094204D" w:rsidP="0094204D">
      <w:pPr>
        <w:pStyle w:val="Heading3"/>
      </w:pPr>
      <w:bookmarkStart w:id="5" w:name="_Toc374595976"/>
      <w:r w:rsidRPr="0094204D">
        <w:t xml:space="preserve">Community Languages </w:t>
      </w:r>
      <w:r w:rsidR="00821937">
        <w:t xml:space="preserve">Collection Development </w:t>
      </w:r>
      <w:r w:rsidRPr="0094204D">
        <w:t>Policy (201</w:t>
      </w:r>
      <w:r w:rsidR="000809E7">
        <w:t>1</w:t>
      </w:r>
      <w:r w:rsidRPr="0094204D">
        <w:t>)</w:t>
      </w:r>
      <w:bookmarkEnd w:id="5"/>
    </w:p>
    <w:p w:rsidR="00537B0D" w:rsidRPr="00537B0D" w:rsidRDefault="00537B0D" w:rsidP="00537B0D">
      <w:r>
        <w:t>The purpose of the Community Languages c</w:t>
      </w:r>
      <w:r w:rsidRPr="00537B0D">
        <w:t>ollection</w:t>
      </w:r>
      <w:r>
        <w:t xml:space="preserve"> is to:</w:t>
      </w:r>
      <w:r w:rsidRPr="00537B0D">
        <w:t xml:space="preserve"> </w:t>
      </w:r>
    </w:p>
    <w:p w:rsidR="00537B0D" w:rsidRPr="00537B0D" w:rsidRDefault="00537B0D" w:rsidP="00537B0D">
      <w:pPr>
        <w:pStyle w:val="ListParagraph"/>
        <w:numPr>
          <w:ilvl w:val="0"/>
          <w:numId w:val="3"/>
        </w:numPr>
      </w:pPr>
      <w:r w:rsidRPr="00537B0D">
        <w:t xml:space="preserve">Contain materials representing a diverse range of subject areas and interests </w:t>
      </w:r>
    </w:p>
    <w:p w:rsidR="00537B0D" w:rsidRPr="00537B0D" w:rsidRDefault="00537B0D" w:rsidP="00537B0D">
      <w:pPr>
        <w:pStyle w:val="ListParagraph"/>
        <w:numPr>
          <w:ilvl w:val="0"/>
          <w:numId w:val="3"/>
        </w:numPr>
      </w:pPr>
      <w:r w:rsidRPr="00537B0D">
        <w:t>Foster cultural and la</w:t>
      </w:r>
      <w:r w:rsidR="00D86D29">
        <w:t>nguage maintenance and vitality, and</w:t>
      </w:r>
    </w:p>
    <w:p w:rsidR="00537B0D" w:rsidRDefault="00537B0D" w:rsidP="00537B0D">
      <w:pPr>
        <w:pStyle w:val="ListParagraph"/>
        <w:numPr>
          <w:ilvl w:val="0"/>
          <w:numId w:val="3"/>
        </w:numPr>
      </w:pPr>
      <w:r w:rsidRPr="00537B0D">
        <w:t>Help to meet the information, educational, cultural and recreational needs of people from different backgrounds</w:t>
      </w:r>
      <w:r w:rsidR="00D86D29">
        <w:t>.</w:t>
      </w:r>
      <w:r w:rsidRPr="00537B0D">
        <w:t xml:space="preserve"> </w:t>
      </w:r>
    </w:p>
    <w:p w:rsidR="00914A02" w:rsidRPr="00537B0D" w:rsidRDefault="00914A02" w:rsidP="00537B0D">
      <w:pPr>
        <w:pStyle w:val="ListParagraph"/>
        <w:numPr>
          <w:ilvl w:val="0"/>
          <w:numId w:val="3"/>
        </w:numPr>
      </w:pPr>
      <w:r>
        <w:t>Assist people to learn a new language other than English.</w:t>
      </w:r>
    </w:p>
    <w:p w:rsidR="00EA7DE5" w:rsidRPr="00537B0D" w:rsidRDefault="003E5411" w:rsidP="0094204D">
      <w:r>
        <w:t>A detailed overview of the operations of the Community Languages policies and procedures is provided in the next section.</w:t>
      </w:r>
    </w:p>
    <w:p w:rsidR="00F553F6" w:rsidRDefault="00F553F6" w:rsidP="000B3618"/>
    <w:p w:rsidR="003505BF" w:rsidRDefault="003E5411" w:rsidP="00CB5831">
      <w:pPr>
        <w:pStyle w:val="Heading1"/>
      </w:pPr>
      <w:bookmarkStart w:id="6" w:name="_Toc374595977"/>
      <w:r>
        <w:t>Current Community Languages Policies and Procedures</w:t>
      </w:r>
      <w:bookmarkEnd w:id="6"/>
    </w:p>
    <w:p w:rsidR="00617C73" w:rsidRPr="00617C73" w:rsidRDefault="00617C73" w:rsidP="00617C73">
      <w:r w:rsidRPr="00617C73">
        <w:t>Community Languages materials are purchased via a levy set by</w:t>
      </w:r>
      <w:r w:rsidR="00087274">
        <w:t xml:space="preserve"> the Standing Committee and recommended by</w:t>
      </w:r>
      <w:r w:rsidRPr="00617C73">
        <w:t xml:space="preserve"> Public Libraries SA (PLSA) with approval from the Libraries Board of SA. </w:t>
      </w:r>
      <w:r>
        <w:t>A</w:t>
      </w:r>
      <w:r w:rsidRPr="00617C73">
        <w:t xml:space="preserve">ll public libraries contribute a percentage of their materials budget towards the purchase of Community Language materials. The levy is applied on a differential basis dependent on the size of the </w:t>
      </w:r>
      <w:proofErr w:type="gramStart"/>
      <w:r w:rsidR="001F0978">
        <w:t>Culturally</w:t>
      </w:r>
      <w:proofErr w:type="gramEnd"/>
      <w:r w:rsidR="001F0978">
        <w:t xml:space="preserve"> and Linguistically Diverse (</w:t>
      </w:r>
      <w:r w:rsidRPr="00617C73">
        <w:t>CALD</w:t>
      </w:r>
      <w:r w:rsidR="001F0978">
        <w:t>)</w:t>
      </w:r>
      <w:r w:rsidRPr="00617C73">
        <w:t xml:space="preserve"> community in each council area</w:t>
      </w:r>
      <w:r>
        <w:t>.</w:t>
      </w:r>
      <w:r w:rsidR="00A2389B">
        <w:t xml:space="preserve"> (Refer to Appendix D).</w:t>
      </w:r>
    </w:p>
    <w:p w:rsidR="003E5411" w:rsidRPr="004510AB" w:rsidRDefault="003E5411" w:rsidP="003E5411">
      <w:r w:rsidRPr="004510AB">
        <w:t xml:space="preserve">The Community Languages levy is split into 2 components. All libraries in the network are levied a flat 2.93% per year.  The second portion of the levy </w:t>
      </w:r>
      <w:r w:rsidR="00260B32">
        <w:t>is a differential portion</w:t>
      </w:r>
      <w:r w:rsidRPr="004510AB">
        <w:t xml:space="preserve"> calculated </w:t>
      </w:r>
      <w:proofErr w:type="gramStart"/>
      <w:r w:rsidRPr="004510AB">
        <w:t xml:space="preserve">using </w:t>
      </w:r>
      <w:r w:rsidRPr="00362B19">
        <w:t xml:space="preserve"> </w:t>
      </w:r>
      <w:r w:rsidR="008C3F02">
        <w:t>Australian</w:t>
      </w:r>
      <w:proofErr w:type="gramEnd"/>
      <w:r w:rsidR="008C3F02">
        <w:t xml:space="preserve"> Bureau of Statistics (</w:t>
      </w:r>
      <w:r w:rsidRPr="004510AB">
        <w:t>ABS</w:t>
      </w:r>
      <w:r w:rsidR="008C3F02">
        <w:t>)</w:t>
      </w:r>
      <w:r w:rsidRPr="004510AB">
        <w:t xml:space="preserve"> Census data</w:t>
      </w:r>
      <w:r w:rsidR="00260B32">
        <w:t>.</w:t>
      </w:r>
    </w:p>
    <w:p w:rsidR="003E5411" w:rsidRDefault="003E5411" w:rsidP="003E5411">
      <w:pPr>
        <w:rPr>
          <w:szCs w:val="22"/>
        </w:rPr>
      </w:pPr>
      <w:r>
        <w:rPr>
          <w:szCs w:val="22"/>
        </w:rPr>
        <w:t>In 2007 the PLSA Executive reviewed the expenditure of network funds for the purchase of Community Languages materials and resources</w:t>
      </w:r>
      <w:r w:rsidR="00617C73">
        <w:rPr>
          <w:szCs w:val="22"/>
        </w:rPr>
        <w:t xml:space="preserve"> and i</w:t>
      </w:r>
      <w:r>
        <w:rPr>
          <w:szCs w:val="22"/>
        </w:rPr>
        <w:t xml:space="preserve">n 2010-11 the levy was set at 4.5% of the annual materials grant and </w:t>
      </w:r>
      <w:r w:rsidR="00771E84">
        <w:rPr>
          <w:szCs w:val="22"/>
        </w:rPr>
        <w:t>was</w:t>
      </w:r>
      <w:r w:rsidR="00362B19">
        <w:rPr>
          <w:szCs w:val="22"/>
        </w:rPr>
        <w:t xml:space="preserve"> set to increase</w:t>
      </w:r>
      <w:r>
        <w:rPr>
          <w:szCs w:val="22"/>
        </w:rPr>
        <w:t xml:space="preserve"> by 0.3% each year, to meet the growing needs of CALD communities to eventually be 6% of the total materials budget </w:t>
      </w:r>
      <w:r w:rsidR="006F47B9">
        <w:rPr>
          <w:szCs w:val="22"/>
        </w:rPr>
        <w:t>by 2015-16. This figure of 6% was</w:t>
      </w:r>
      <w:r>
        <w:rPr>
          <w:szCs w:val="22"/>
        </w:rPr>
        <w:t xml:space="preserve"> based on ABS survey information which show</w:t>
      </w:r>
      <w:r w:rsidR="00607673">
        <w:rPr>
          <w:szCs w:val="22"/>
        </w:rPr>
        <w:t>ed</w:t>
      </w:r>
      <w:r>
        <w:rPr>
          <w:szCs w:val="22"/>
        </w:rPr>
        <w:t xml:space="preserve"> that </w:t>
      </w:r>
      <w:r w:rsidR="00607673">
        <w:rPr>
          <w:szCs w:val="22"/>
        </w:rPr>
        <w:t xml:space="preserve">in 2006, </w:t>
      </w:r>
      <w:r>
        <w:rPr>
          <w:szCs w:val="22"/>
        </w:rPr>
        <w:t>12% of South Australians sp</w:t>
      </w:r>
      <w:r w:rsidR="00607673">
        <w:rPr>
          <w:szCs w:val="22"/>
        </w:rPr>
        <w:t>o</w:t>
      </w:r>
      <w:r>
        <w:rPr>
          <w:szCs w:val="22"/>
        </w:rPr>
        <w:t>k</w:t>
      </w:r>
      <w:r w:rsidR="00607673">
        <w:rPr>
          <w:szCs w:val="22"/>
        </w:rPr>
        <w:t>e</w:t>
      </w:r>
      <w:r>
        <w:rPr>
          <w:szCs w:val="22"/>
        </w:rPr>
        <w:t xml:space="preserve"> a language other than English as their “first” or primary language</w:t>
      </w:r>
      <w:r w:rsidR="00DB3809">
        <w:rPr>
          <w:rStyle w:val="FootnoteReference"/>
          <w:szCs w:val="22"/>
        </w:rPr>
        <w:footnoteReference w:id="3"/>
      </w:r>
      <w:r>
        <w:rPr>
          <w:szCs w:val="22"/>
        </w:rPr>
        <w:t>. On the basis that approximately 50% of the community are library borrowers, the PLSA Executive agreed to gradually raise this levy to be 6% of the materials funds.</w:t>
      </w:r>
      <w:r w:rsidR="00A325A2">
        <w:rPr>
          <w:szCs w:val="22"/>
        </w:rPr>
        <w:t xml:space="preserve"> In 2011 this percentage had risen to 14% and continues to rise.</w:t>
      </w:r>
    </w:p>
    <w:p w:rsidR="003E5411" w:rsidRPr="001E3A6B" w:rsidRDefault="003E5411" w:rsidP="003E5411">
      <w:r w:rsidRPr="001E3A6B">
        <w:t>In 201</w:t>
      </w:r>
      <w:r w:rsidR="00362B19">
        <w:t>3-14</w:t>
      </w:r>
      <w:r w:rsidRPr="001E3A6B">
        <w:t xml:space="preserve"> the Community Languages levy </w:t>
      </w:r>
      <w:r w:rsidR="006150A4">
        <w:t>was set at</w:t>
      </w:r>
      <w:r w:rsidR="00362B19">
        <w:t xml:space="preserve"> 5.</w:t>
      </w:r>
      <w:r w:rsidR="00E55961">
        <w:t>4</w:t>
      </w:r>
      <w:r w:rsidR="00362B19">
        <w:t>%</w:t>
      </w:r>
      <w:r w:rsidR="00E55961">
        <w:t xml:space="preserve"> </w:t>
      </w:r>
      <w:r w:rsidR="00771E84" w:rsidRPr="00114035">
        <w:t>(refer appendix</w:t>
      </w:r>
      <w:r w:rsidR="00114035">
        <w:t xml:space="preserve"> D</w:t>
      </w:r>
      <w:r w:rsidR="00771E84">
        <w:t>)</w:t>
      </w:r>
      <w:r w:rsidR="00114035">
        <w:t xml:space="preserve"> </w:t>
      </w:r>
      <w:r w:rsidR="00E55961">
        <w:t>of the materials grant</w:t>
      </w:r>
      <w:r w:rsidRPr="001E3A6B">
        <w:t xml:space="preserve"> which </w:t>
      </w:r>
      <w:r w:rsidR="00EE1C90">
        <w:t>provide</w:t>
      </w:r>
      <w:r w:rsidR="002436D0">
        <w:t>d</w:t>
      </w:r>
      <w:r w:rsidRPr="001E3A6B">
        <w:t xml:space="preserve"> </w:t>
      </w:r>
      <w:r w:rsidR="00434600" w:rsidRPr="00434600">
        <w:t>$367,000</w:t>
      </w:r>
      <w:r w:rsidR="00EE1C90">
        <w:t xml:space="preserve"> with ex</w:t>
      </w:r>
      <w:r w:rsidRPr="001E3A6B">
        <w:t xml:space="preserve">penditure composed of: </w:t>
      </w:r>
    </w:p>
    <w:p w:rsidR="003E5411" w:rsidRPr="00EE1C90" w:rsidRDefault="00A2389B" w:rsidP="003E5411">
      <w:pPr>
        <w:pStyle w:val="ListParagraph"/>
        <w:numPr>
          <w:ilvl w:val="0"/>
          <w:numId w:val="4"/>
        </w:numPr>
        <w:rPr>
          <w:sz w:val="18"/>
        </w:rPr>
      </w:pPr>
      <w:r>
        <w:t>MyL</w:t>
      </w:r>
      <w:r w:rsidR="003E5411" w:rsidRPr="001E3A6B">
        <w:t>anguage website - $1</w:t>
      </w:r>
      <w:r w:rsidR="002436D0">
        <w:t>3,000</w:t>
      </w:r>
      <w:r w:rsidR="003E5411" w:rsidRPr="001E3A6B">
        <w:t xml:space="preserve"> (ex GST) – a national website to support library access for people speaking and reading languages other than English</w:t>
      </w:r>
      <w:r w:rsidR="00BE4965">
        <w:t xml:space="preserve"> (</w:t>
      </w:r>
      <w:r w:rsidR="00BE4965">
        <w:rPr>
          <w:sz w:val="18"/>
        </w:rPr>
        <w:t>www.mylanguage.gov.au)</w:t>
      </w:r>
    </w:p>
    <w:p w:rsidR="003E5411" w:rsidRPr="001E3A6B" w:rsidRDefault="003E5411" w:rsidP="003E5411">
      <w:pPr>
        <w:pStyle w:val="ListParagraph"/>
        <w:numPr>
          <w:ilvl w:val="0"/>
          <w:numId w:val="4"/>
        </w:numPr>
      </w:pPr>
      <w:r w:rsidRPr="001E3A6B">
        <w:t>Language materials resources and cataloguing- $3</w:t>
      </w:r>
      <w:r w:rsidR="002436D0">
        <w:t>54,000</w:t>
      </w:r>
      <w:r w:rsidRPr="001E3A6B">
        <w:t xml:space="preserve"> </w:t>
      </w:r>
    </w:p>
    <w:p w:rsidR="008049B5" w:rsidRDefault="003E5411" w:rsidP="008049B5">
      <w:pPr>
        <w:rPr>
          <w:lang w:val="en-US"/>
        </w:rPr>
      </w:pPr>
      <w:r w:rsidRPr="00B40E94">
        <w:t>As endorsed by the Libraries Board, PLS has ente</w:t>
      </w:r>
      <w:r w:rsidR="00FE03B5">
        <w:t>red into a panel contract (due for renewal in 2014) with five</w:t>
      </w:r>
      <w:r w:rsidRPr="00B40E94">
        <w:t xml:space="preserve"> suppliers for the </w:t>
      </w:r>
      <w:r w:rsidR="000C712A">
        <w:t>provision of materials in the</w:t>
      </w:r>
      <w:r w:rsidRPr="00B40E94">
        <w:t xml:space="preserve"> </w:t>
      </w:r>
      <w:r w:rsidR="002436D0" w:rsidRPr="00B40E94">
        <w:t>2</w:t>
      </w:r>
      <w:r w:rsidR="002436D0">
        <w:t>0</w:t>
      </w:r>
      <w:r w:rsidR="002436D0" w:rsidRPr="00B40E94">
        <w:t xml:space="preserve"> </w:t>
      </w:r>
      <w:r w:rsidR="000C712A">
        <w:t xml:space="preserve">most frequently reported </w:t>
      </w:r>
      <w:r w:rsidRPr="00B40E94">
        <w:t>community languages</w:t>
      </w:r>
      <w:r w:rsidR="000C712A">
        <w:t xml:space="preserve"> (based on </w:t>
      </w:r>
      <w:r w:rsidR="00771E84">
        <w:t xml:space="preserve">usage </w:t>
      </w:r>
      <w:r w:rsidR="000C712A">
        <w:t>data)</w:t>
      </w:r>
      <w:r w:rsidR="00FE03B5">
        <w:t xml:space="preserve">, with community focus groups assisting in the determination of </w:t>
      </w:r>
      <w:r w:rsidR="002436D0">
        <w:t xml:space="preserve">some of the language </w:t>
      </w:r>
      <w:r w:rsidR="00FE03B5">
        <w:t xml:space="preserve">materials </w:t>
      </w:r>
      <w:r w:rsidR="002436D0">
        <w:t>selected</w:t>
      </w:r>
      <w:r w:rsidR="00FE03B5">
        <w:t>.</w:t>
      </w:r>
      <w:r w:rsidR="00771E84">
        <w:t xml:space="preserve"> </w:t>
      </w:r>
      <w:r w:rsidR="008049B5">
        <w:t xml:space="preserve">The </w:t>
      </w:r>
      <w:r w:rsidR="008049B5">
        <w:rPr>
          <w:lang w:val="en-US"/>
        </w:rPr>
        <w:t xml:space="preserve">Community Languages </w:t>
      </w:r>
      <w:r w:rsidR="008049B5" w:rsidRPr="008049B5">
        <w:rPr>
          <w:lang w:val="en-US"/>
        </w:rPr>
        <w:t>Collection Development Procedures</w:t>
      </w:r>
      <w:r w:rsidR="008049B5">
        <w:rPr>
          <w:lang w:val="en-US"/>
        </w:rPr>
        <w:t xml:space="preserve"> (</w:t>
      </w:r>
      <w:r w:rsidR="008049B5" w:rsidRPr="008049B5">
        <w:rPr>
          <w:lang w:val="en-US"/>
        </w:rPr>
        <w:t>February 2011</w:t>
      </w:r>
      <w:r w:rsidR="008049B5">
        <w:rPr>
          <w:lang w:val="en-US"/>
        </w:rPr>
        <w:t xml:space="preserve">) specified </w:t>
      </w:r>
    </w:p>
    <w:p w:rsidR="008049B5" w:rsidRDefault="008049B5" w:rsidP="008049B5">
      <w:pPr>
        <w:rPr>
          <w:i/>
          <w:lang w:val="en-US"/>
        </w:rPr>
      </w:pPr>
      <w:r w:rsidRPr="008049B5">
        <w:rPr>
          <w:i/>
          <w:lang w:val="en-US"/>
        </w:rPr>
        <w:t xml:space="preserve">The South Australian network is aiming for a core group of approximately 20 languages by 2014. The list of languages included will be flexible, and a less complicated purchasing model will be the practical outcome. </w:t>
      </w:r>
    </w:p>
    <w:p w:rsidR="00BE4965" w:rsidRDefault="003E5411" w:rsidP="003E5411">
      <w:pPr>
        <w:rPr>
          <w:szCs w:val="22"/>
        </w:rPr>
      </w:pPr>
      <w:r w:rsidRPr="00B40E94">
        <w:t>In addition to centrally purchased materials, individual public libraries are encouraged to purchase materials from their own local purc</w:t>
      </w:r>
      <w:r w:rsidR="006050D9">
        <w:t>hase funds to meet local needs</w:t>
      </w:r>
      <w:r w:rsidRPr="00B40E94">
        <w:t>.</w:t>
      </w:r>
      <w:r>
        <w:t xml:space="preserve"> </w:t>
      </w:r>
      <w:r>
        <w:rPr>
          <w:szCs w:val="22"/>
        </w:rPr>
        <w:t xml:space="preserve">Every effort </w:t>
      </w:r>
      <w:r w:rsidR="00062B69">
        <w:rPr>
          <w:szCs w:val="22"/>
        </w:rPr>
        <w:t xml:space="preserve">is </w:t>
      </w:r>
      <w:r>
        <w:rPr>
          <w:szCs w:val="22"/>
        </w:rPr>
        <w:t>made to introduce new language collections when appropriate</w:t>
      </w:r>
      <w:r w:rsidR="00BE4965">
        <w:rPr>
          <w:szCs w:val="22"/>
        </w:rPr>
        <w:t>,</w:t>
      </w:r>
      <w:r>
        <w:rPr>
          <w:szCs w:val="22"/>
        </w:rPr>
        <w:t xml:space="preserve"> based on demo</w:t>
      </w:r>
      <w:r w:rsidR="00BE4965">
        <w:rPr>
          <w:szCs w:val="22"/>
        </w:rPr>
        <w:t>nstrated demand</w:t>
      </w:r>
      <w:r w:rsidR="00062B69">
        <w:rPr>
          <w:szCs w:val="22"/>
        </w:rPr>
        <w:t>.</w:t>
      </w:r>
      <w:r w:rsidR="00BE4965">
        <w:rPr>
          <w:szCs w:val="22"/>
        </w:rPr>
        <w:t xml:space="preserve"> </w:t>
      </w:r>
      <w:r>
        <w:rPr>
          <w:szCs w:val="22"/>
        </w:rPr>
        <w:t xml:space="preserve">Libraries </w:t>
      </w:r>
      <w:r w:rsidR="00BE4965">
        <w:rPr>
          <w:szCs w:val="22"/>
        </w:rPr>
        <w:t>with</w:t>
      </w:r>
      <w:r>
        <w:rPr>
          <w:szCs w:val="22"/>
        </w:rPr>
        <w:t xml:space="preserve"> new arrivals who request languages not currently purchased from central funds</w:t>
      </w:r>
      <w:r w:rsidR="00062B69">
        <w:rPr>
          <w:szCs w:val="22"/>
        </w:rPr>
        <w:t>,</w:t>
      </w:r>
      <w:r>
        <w:rPr>
          <w:szCs w:val="22"/>
        </w:rPr>
        <w:t xml:space="preserve"> </w:t>
      </w:r>
      <w:r w:rsidR="00A2389B">
        <w:rPr>
          <w:szCs w:val="22"/>
        </w:rPr>
        <w:t xml:space="preserve">should </w:t>
      </w:r>
      <w:r w:rsidR="00062B69">
        <w:rPr>
          <w:szCs w:val="22"/>
        </w:rPr>
        <w:t xml:space="preserve">in the first instance, </w:t>
      </w:r>
      <w:r>
        <w:rPr>
          <w:szCs w:val="22"/>
        </w:rPr>
        <w:t>purchase materials from local funds and monitor usage</w:t>
      </w:r>
      <w:r w:rsidR="00062B69">
        <w:rPr>
          <w:szCs w:val="22"/>
        </w:rPr>
        <w:t xml:space="preserve"> with the help of Bibliostat.</w:t>
      </w:r>
      <w:r>
        <w:rPr>
          <w:szCs w:val="22"/>
        </w:rPr>
        <w:t xml:space="preserve"> </w:t>
      </w:r>
      <w:r w:rsidR="00A2389B">
        <w:rPr>
          <w:szCs w:val="22"/>
        </w:rPr>
        <w:t>This establishes an initial language collection, the use of which can be measured to demonstrate demand and hence future centralized purchase.</w:t>
      </w:r>
    </w:p>
    <w:p w:rsidR="006926A8" w:rsidRDefault="003E5411" w:rsidP="006926A8">
      <w:r>
        <w:t xml:space="preserve">Categories of purchased materials </w:t>
      </w:r>
      <w:r w:rsidRPr="00B40E94">
        <w:t xml:space="preserve">are specified in the individual contract tender documents, and reflect specific language demands. </w:t>
      </w:r>
      <w:r w:rsidR="00062B69">
        <w:t>South Australian</w:t>
      </w:r>
      <w:r w:rsidR="006926A8">
        <w:t xml:space="preserve"> State Government </w:t>
      </w:r>
      <w:r w:rsidR="00062B69">
        <w:t>legal requirements stipulate that a</w:t>
      </w:r>
      <w:r w:rsidRPr="00B40E94">
        <w:t>ll DVDs purchased by PLS must be classified by the Australian Classification Board</w:t>
      </w:r>
      <w:r w:rsidR="00A2389B">
        <w:rPr>
          <w:rStyle w:val="FootnoteReference"/>
        </w:rPr>
        <w:footnoteReference w:id="4"/>
      </w:r>
      <w:r w:rsidRPr="00B40E94">
        <w:t>, or be in categor</w:t>
      </w:r>
      <w:r w:rsidR="006926A8">
        <w:t>ies exempt from classification, and purchased in Australia. Local libraries can purchase unclassified DVDs, subject to their legal advice.</w:t>
      </w:r>
    </w:p>
    <w:p w:rsidR="00CE797A" w:rsidRDefault="003E5411" w:rsidP="003E5411">
      <w:r w:rsidRPr="00B40E94">
        <w:t xml:space="preserve">Newspapers and </w:t>
      </w:r>
      <w:r w:rsidR="006C7C9F">
        <w:t>magazines</w:t>
      </w:r>
      <w:r w:rsidRPr="00B40E94">
        <w:t xml:space="preserve"> are not purchased from </w:t>
      </w:r>
      <w:r w:rsidR="00062B69" w:rsidRPr="00B40E94">
        <w:t>th</w:t>
      </w:r>
      <w:r w:rsidR="00062B69">
        <w:t xml:space="preserve">e Community Language </w:t>
      </w:r>
      <w:r w:rsidRPr="00B40E94">
        <w:t xml:space="preserve">annual budget. </w:t>
      </w:r>
    </w:p>
    <w:p w:rsidR="00CE797A" w:rsidRDefault="00CE797A" w:rsidP="003E5411">
      <w:r>
        <w:t>In addition to providing a physical collection of community language material, the South Australian consortium recognizes that online resources can benefit CALD customers.</w:t>
      </w:r>
      <w:r w:rsidR="006926A8">
        <w:t xml:space="preserve"> </w:t>
      </w:r>
      <w:r w:rsidR="003E5411" w:rsidRPr="00B40E94">
        <w:t xml:space="preserve">The </w:t>
      </w:r>
      <w:r w:rsidR="006926A8">
        <w:t>state</w:t>
      </w:r>
      <w:r w:rsidR="002925F3">
        <w:t xml:space="preserve">wide </w:t>
      </w:r>
      <w:r w:rsidR="003E5411" w:rsidRPr="00B40E94">
        <w:t xml:space="preserve">subscription to PressDisplay </w:t>
      </w:r>
      <w:r w:rsidR="006926A8">
        <w:t>provides</w:t>
      </w:r>
      <w:r w:rsidR="003E5411" w:rsidRPr="00B40E94">
        <w:t xml:space="preserve"> access to current newspapers in 39 different languages. </w:t>
      </w:r>
      <w:r>
        <w:t>Additionally many p</w:t>
      </w:r>
      <w:r w:rsidR="003E5411" w:rsidRPr="00B40E94">
        <w:t xml:space="preserve">ublic libraries </w:t>
      </w:r>
      <w:r>
        <w:t>choose to</w:t>
      </w:r>
      <w:r w:rsidRPr="00B40E94">
        <w:t xml:space="preserve"> </w:t>
      </w:r>
      <w:r w:rsidR="003E5411" w:rsidRPr="00B40E94">
        <w:t xml:space="preserve">use local purchase funds to provide magazines </w:t>
      </w:r>
      <w:r>
        <w:t>in community languages.</w:t>
      </w:r>
    </w:p>
    <w:p w:rsidR="00CE797A" w:rsidRDefault="00CE797A" w:rsidP="003E5411">
      <w:r>
        <w:t>There is a statewide subscription, paid for jointly by Public Libraries SA and StudyAdelaide, to the IELTS (International English Language Testing System) online resource. This resource allows newly arrived students and other migrants to practice and prepare for the</w:t>
      </w:r>
      <w:r w:rsidR="00FD2746">
        <w:t xml:space="preserve"> </w:t>
      </w:r>
      <w:r w:rsidR="002925F3">
        <w:t>compulsory</w:t>
      </w:r>
      <w:r>
        <w:t xml:space="preserve"> language test which is </w:t>
      </w:r>
      <w:r w:rsidR="00FD2746">
        <w:t>essential for their visa approval.</w:t>
      </w:r>
      <w:r w:rsidR="002925F3">
        <w:t xml:space="preserve"> A </w:t>
      </w:r>
      <w:r w:rsidR="006926A8">
        <w:t xml:space="preserve">statewide subscription </w:t>
      </w:r>
      <w:r w:rsidR="002925F3">
        <w:t>to World Book Online gives access to translated encyclopaedia articles.</w:t>
      </w:r>
    </w:p>
    <w:p w:rsidR="003E5411" w:rsidRPr="00B40E94" w:rsidRDefault="00CE797A" w:rsidP="003E5411">
      <w:r>
        <w:t xml:space="preserve">The South Australian public library network has endorsed a policy to supply full catalogue records for every purchased community language item. This policy assists customers and library staff to source and share </w:t>
      </w:r>
      <w:r w:rsidR="00377074">
        <w:t xml:space="preserve">Community Language </w:t>
      </w:r>
      <w:r w:rsidR="00C24D16">
        <w:t>material.</w:t>
      </w:r>
    </w:p>
    <w:p w:rsidR="00730BBF" w:rsidRDefault="00730BBF" w:rsidP="00730BBF"/>
    <w:p w:rsidR="005F79E8" w:rsidRDefault="005F79E8" w:rsidP="00337BB1">
      <w:pPr>
        <w:pStyle w:val="Heading1"/>
      </w:pPr>
      <w:bookmarkStart w:id="7" w:name="_Toc374595978"/>
      <w:r>
        <w:t xml:space="preserve">Community Languages </w:t>
      </w:r>
      <w:r w:rsidR="003E5411">
        <w:t>and Population</w:t>
      </w:r>
      <w:bookmarkEnd w:id="7"/>
    </w:p>
    <w:p w:rsidR="009A4D6C" w:rsidRDefault="001826F4" w:rsidP="001826F4">
      <w:r>
        <w:t>In the 201</w:t>
      </w:r>
      <w:r w:rsidR="001152D6">
        <w:t>1-12</w:t>
      </w:r>
      <w:r>
        <w:t xml:space="preserve"> period there were </w:t>
      </w:r>
      <w:r w:rsidR="001152D6">
        <w:t>377,302</w:t>
      </w:r>
      <w:r>
        <w:t xml:space="preserve"> non English items borrowed thro</w:t>
      </w:r>
      <w:r w:rsidR="001152D6">
        <w:t xml:space="preserve">ugh the </w:t>
      </w:r>
      <w:r w:rsidR="00377074">
        <w:t>Network</w:t>
      </w:r>
      <w:r>
        <w:t xml:space="preserve">. </w:t>
      </w:r>
      <w:r w:rsidR="00377074">
        <w:t>Newspapers and magazines</w:t>
      </w:r>
      <w:r>
        <w:t xml:space="preserve"> are available in a number of languages in many libraries</w:t>
      </w:r>
      <w:r w:rsidR="00377074">
        <w:t xml:space="preserve"> and</w:t>
      </w:r>
      <w:r>
        <w:t xml:space="preserve"> some libraries run Community Language programs</w:t>
      </w:r>
      <w:r w:rsidR="00377074">
        <w:t>.</w:t>
      </w:r>
      <w:r>
        <w:t xml:space="preserve"> </w:t>
      </w:r>
    </w:p>
    <w:p w:rsidR="001826F4" w:rsidRDefault="00174773" w:rsidP="001826F4">
      <w:r>
        <w:t>As can be seen in the graph</w:t>
      </w:r>
      <w:r w:rsidR="00EC0071">
        <w:t xml:space="preserve"> below</w:t>
      </w:r>
      <w:r>
        <w:t>, there have been significant changes in the languages spoken in South Australia since the last Census.</w:t>
      </w:r>
      <w:r w:rsidR="0095476C" w:rsidRPr="0095476C">
        <w:rPr>
          <w:szCs w:val="22"/>
        </w:rPr>
        <w:t xml:space="preserve"> </w:t>
      </w:r>
      <w:r w:rsidR="0095476C">
        <w:rPr>
          <w:szCs w:val="22"/>
        </w:rPr>
        <w:t>In 2006, 12% of South Australians spoke a language other than English as their “first” or primary language. In 2011 this percentage had risen to 14%</w:t>
      </w:r>
      <w:r w:rsidR="00A4174F">
        <w:rPr>
          <w:szCs w:val="22"/>
        </w:rPr>
        <w:t xml:space="preserve">. For </w:t>
      </w:r>
      <w:r w:rsidR="009E4D7C">
        <w:rPr>
          <w:szCs w:val="22"/>
        </w:rPr>
        <w:t xml:space="preserve">all of </w:t>
      </w:r>
      <w:r w:rsidR="00A4174F">
        <w:rPr>
          <w:szCs w:val="22"/>
        </w:rPr>
        <w:t xml:space="preserve">Australia </w:t>
      </w:r>
      <w:r w:rsidR="009E4D7C">
        <w:rPr>
          <w:szCs w:val="22"/>
        </w:rPr>
        <w:t>in 2011 the percentage</w:t>
      </w:r>
      <w:r w:rsidR="00A4174F">
        <w:rPr>
          <w:szCs w:val="22"/>
        </w:rPr>
        <w:t xml:space="preserve"> </w:t>
      </w:r>
      <w:r w:rsidR="009E4D7C">
        <w:rPr>
          <w:szCs w:val="22"/>
        </w:rPr>
        <w:t xml:space="preserve">of people speaking </w:t>
      </w:r>
      <w:r w:rsidR="008971A4">
        <w:rPr>
          <w:szCs w:val="22"/>
        </w:rPr>
        <w:t xml:space="preserve">a language other than English at home </w:t>
      </w:r>
      <w:r w:rsidR="00A4174F">
        <w:rPr>
          <w:szCs w:val="22"/>
        </w:rPr>
        <w:t>was 18%</w:t>
      </w:r>
    </w:p>
    <w:p w:rsidR="00EC0071" w:rsidRDefault="00EC0071">
      <w:pPr>
        <w:spacing w:before="0" w:after="0" w:line="240" w:lineRule="auto"/>
        <w:rPr>
          <w:noProof/>
          <w:lang w:eastAsia="en-AU"/>
        </w:rPr>
      </w:pPr>
    </w:p>
    <w:p w:rsidR="00EC0071" w:rsidRDefault="00EC0071">
      <w:pPr>
        <w:spacing w:before="0" w:after="0" w:line="240" w:lineRule="auto"/>
        <w:rPr>
          <w:noProof/>
          <w:lang w:eastAsia="en-AU"/>
        </w:rPr>
      </w:pPr>
    </w:p>
    <w:p w:rsidR="00EC0071" w:rsidRDefault="00EC0071">
      <w:pPr>
        <w:spacing w:before="0" w:after="0" w:line="240" w:lineRule="auto"/>
        <w:rPr>
          <w:noProof/>
          <w:lang w:eastAsia="en-AU"/>
        </w:rPr>
      </w:pPr>
    </w:p>
    <w:p w:rsidR="00120BF9" w:rsidRDefault="00044B67">
      <w:pPr>
        <w:spacing w:before="0" w:after="0" w:line="240" w:lineRule="auto"/>
      </w:pPr>
      <w:r w:rsidRPr="00044B67">
        <w:rPr>
          <w:noProof/>
          <w:lang w:eastAsia="en-AU"/>
        </w:rPr>
        <w:drawing>
          <wp:anchor distT="0" distB="0" distL="114300" distR="114300" simplePos="0" relativeHeight="251671552" behindDoc="0" locked="0" layoutInCell="1" allowOverlap="1" wp14:anchorId="47862ADD" wp14:editId="012748F7">
            <wp:simplePos x="0" y="0"/>
            <wp:positionH relativeFrom="column">
              <wp:posOffset>595630</wp:posOffset>
            </wp:positionH>
            <wp:positionV relativeFrom="paragraph">
              <wp:posOffset>-112395</wp:posOffset>
            </wp:positionV>
            <wp:extent cx="3940810" cy="2418080"/>
            <wp:effectExtent l="19050" t="19050" r="21590" b="20320"/>
            <wp:wrapSquare wrapText="bothSides"/>
            <wp:docPr id="1" name="Picture 1" descr="C:\Users\Kristine\Dropbox\AAA SERVER working file\PLS Community Language Strategy X1102M\langu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Dropbox\AAA SERVER working file\PLS Community Language Strategy X1102M\language.png"/>
                    <pic:cNvPicPr>
                      <a:picLocks noChangeAspect="1" noChangeArrowheads="1"/>
                    </pic:cNvPicPr>
                  </pic:nvPicPr>
                  <pic:blipFill>
                    <a:blip r:embed="rId11" cstate="print"/>
                    <a:srcRect/>
                    <a:stretch>
                      <a:fillRect/>
                    </a:stretch>
                  </pic:blipFill>
                  <pic:spPr bwMode="auto">
                    <a:xfrm>
                      <a:off x="0" y="0"/>
                      <a:ext cx="3940810" cy="2418080"/>
                    </a:xfrm>
                    <a:prstGeom prst="rect">
                      <a:avLst/>
                    </a:prstGeom>
                    <a:noFill/>
                    <a:ln w="9525">
                      <a:solidFill>
                        <a:schemeClr val="tx1">
                          <a:lumMod val="65000"/>
                          <a:lumOff val="35000"/>
                        </a:schemeClr>
                      </a:solidFill>
                      <a:miter lim="800000"/>
                      <a:headEnd/>
                      <a:tailEnd/>
                    </a:ln>
                  </pic:spPr>
                </pic:pic>
              </a:graphicData>
            </a:graphic>
          </wp:anchor>
        </w:drawing>
      </w:r>
      <w:r w:rsidRPr="00044B67">
        <w:t xml:space="preserve"> </w:t>
      </w:r>
    </w:p>
    <w:p w:rsidR="00EC0071" w:rsidRDefault="00EC0071">
      <w:pPr>
        <w:spacing w:before="0" w:after="0" w:line="240" w:lineRule="auto"/>
      </w:pPr>
    </w:p>
    <w:p w:rsidR="00EC0071" w:rsidRDefault="00EC0071">
      <w:pPr>
        <w:spacing w:before="0" w:after="0" w:line="240" w:lineRule="auto"/>
      </w:pPr>
    </w:p>
    <w:p w:rsidR="00EC0071" w:rsidRDefault="00EC0071">
      <w:pPr>
        <w:spacing w:before="0" w:after="0" w:line="240" w:lineRule="auto"/>
      </w:pPr>
    </w:p>
    <w:p w:rsidR="00EC0071" w:rsidRDefault="00EC0071">
      <w:pPr>
        <w:spacing w:before="0" w:after="0" w:line="240" w:lineRule="auto"/>
      </w:pPr>
    </w:p>
    <w:p w:rsidR="00120BF9" w:rsidRDefault="00120BF9">
      <w:pPr>
        <w:spacing w:before="0" w:after="0" w:line="240" w:lineRule="auto"/>
      </w:pPr>
    </w:p>
    <w:p w:rsidR="00120BF9" w:rsidRDefault="00120BF9">
      <w:pPr>
        <w:spacing w:before="0" w:after="0" w:line="240" w:lineRule="auto"/>
      </w:pPr>
    </w:p>
    <w:p w:rsidR="00120BF9" w:rsidRDefault="00120BF9">
      <w:pPr>
        <w:spacing w:before="0" w:after="0" w:line="240" w:lineRule="auto"/>
      </w:pPr>
    </w:p>
    <w:p w:rsidR="00120BF9" w:rsidRDefault="00120BF9">
      <w:pPr>
        <w:spacing w:before="0" w:after="0" w:line="240" w:lineRule="auto"/>
      </w:pPr>
    </w:p>
    <w:p w:rsidR="00EC0071" w:rsidRDefault="00EC0071">
      <w:pPr>
        <w:spacing w:before="0" w:after="0" w:line="240" w:lineRule="auto"/>
      </w:pPr>
    </w:p>
    <w:p w:rsidR="00EC0071" w:rsidRDefault="00EC0071">
      <w:pPr>
        <w:spacing w:before="0" w:after="0" w:line="240" w:lineRule="auto"/>
      </w:pPr>
    </w:p>
    <w:p w:rsidR="00EC0071" w:rsidRDefault="00EC0071">
      <w:pPr>
        <w:spacing w:before="0" w:after="0" w:line="240" w:lineRule="auto"/>
      </w:pPr>
    </w:p>
    <w:p w:rsidR="00EC0071" w:rsidRDefault="00EC0071">
      <w:pPr>
        <w:spacing w:before="0" w:after="0" w:line="240" w:lineRule="auto"/>
      </w:pPr>
    </w:p>
    <w:p w:rsidR="00EC0071" w:rsidRDefault="00EC0071">
      <w:pPr>
        <w:spacing w:before="0" w:after="0" w:line="240" w:lineRule="auto"/>
      </w:pPr>
    </w:p>
    <w:p w:rsidR="00EC0071" w:rsidRDefault="00EC0071">
      <w:pPr>
        <w:spacing w:before="0" w:after="0" w:line="240" w:lineRule="auto"/>
      </w:pPr>
    </w:p>
    <w:p w:rsidR="00EC0071" w:rsidRDefault="006C7C9F" w:rsidP="00EC0071">
      <w:r>
        <w:t>Migration patterns change in quite short periods of time. New arrivals to South Australia come from different countries and this</w:t>
      </w:r>
      <w:r w:rsidR="00EC0071">
        <w:t xml:space="preserve"> is linked to world issues and economic conditions. Th</w:t>
      </w:r>
      <w:r>
        <w:t>e</w:t>
      </w:r>
      <w:r w:rsidR="00EC0071">
        <w:t xml:space="preserve"> workshop highlighted opportunities for</w:t>
      </w:r>
      <w:r>
        <w:t xml:space="preserve"> PLS and</w:t>
      </w:r>
      <w:r w:rsidR="00EC0071">
        <w:t xml:space="preserve"> libraries a</w:t>
      </w:r>
      <w:r>
        <w:t xml:space="preserve">t </w:t>
      </w:r>
      <w:r w:rsidR="00EC0071">
        <w:t xml:space="preserve">the local level to work more closely with the Australian Bureau of statistics </w:t>
      </w:r>
      <w:r>
        <w:t>who</w:t>
      </w:r>
      <w:r w:rsidR="00EC0071">
        <w:t xml:space="preserve"> can assist in providing information about the number of new arrivals and settlement patterns.</w:t>
      </w:r>
    </w:p>
    <w:p w:rsidR="00EC0071" w:rsidRDefault="00EC0071">
      <w:pPr>
        <w:spacing w:before="0" w:after="0" w:line="240" w:lineRule="auto"/>
      </w:pPr>
      <w:r>
        <w:t xml:space="preserve"> </w:t>
      </w:r>
    </w:p>
    <w:p w:rsidR="00120BF9" w:rsidRDefault="00120BF9">
      <w:pPr>
        <w:spacing w:before="0" w:after="0" w:line="240" w:lineRule="auto"/>
      </w:pPr>
    </w:p>
    <w:tbl>
      <w:tblPr>
        <w:tblStyle w:val="TableGrid"/>
        <w:tblW w:w="0" w:type="auto"/>
        <w:tblInd w:w="534" w:type="dxa"/>
        <w:tblLook w:val="04A0" w:firstRow="1" w:lastRow="0" w:firstColumn="1" w:lastColumn="0" w:noHBand="0" w:noVBand="1"/>
      </w:tblPr>
      <w:tblGrid>
        <w:gridCol w:w="4087"/>
        <w:gridCol w:w="4134"/>
      </w:tblGrid>
      <w:tr w:rsidR="00120BF9" w:rsidTr="00DB3809">
        <w:tc>
          <w:tcPr>
            <w:tcW w:w="8221" w:type="dxa"/>
            <w:gridSpan w:val="2"/>
            <w:shd w:val="clear" w:color="auto" w:fill="D9D9D9" w:themeFill="background1" w:themeFillShade="D9"/>
          </w:tcPr>
          <w:p w:rsidR="00120BF9" w:rsidRDefault="00120BF9" w:rsidP="006C7C9F">
            <w:pPr>
              <w:spacing w:before="240"/>
            </w:pPr>
            <w:r>
              <w:t xml:space="preserve">Recent Arrivals </w:t>
            </w:r>
            <w:r w:rsidR="006C7C9F">
              <w:t>t</w:t>
            </w:r>
            <w:r>
              <w:t>o South Australia. The largest growing countries of birth since 2006</w:t>
            </w:r>
          </w:p>
        </w:tc>
      </w:tr>
      <w:tr w:rsidR="00120BF9" w:rsidTr="00DB3809">
        <w:tc>
          <w:tcPr>
            <w:tcW w:w="4087" w:type="dxa"/>
          </w:tcPr>
          <w:p w:rsidR="00120BF9" w:rsidRDefault="00120BF9" w:rsidP="00DB3809">
            <w:pPr>
              <w:spacing w:before="240"/>
            </w:pPr>
            <w:r>
              <w:t>India</w:t>
            </w:r>
          </w:p>
        </w:tc>
        <w:tc>
          <w:tcPr>
            <w:tcW w:w="4134" w:type="dxa"/>
          </w:tcPr>
          <w:p w:rsidR="00120BF9" w:rsidRDefault="00120BF9" w:rsidP="00DB3809">
            <w:pPr>
              <w:spacing w:before="240"/>
              <w:jc w:val="center"/>
            </w:pPr>
            <w:r>
              <w:t>13,249 (272.9%)</w:t>
            </w:r>
          </w:p>
        </w:tc>
      </w:tr>
      <w:tr w:rsidR="00120BF9" w:rsidTr="00DB3809">
        <w:tc>
          <w:tcPr>
            <w:tcW w:w="4087" w:type="dxa"/>
          </w:tcPr>
          <w:p w:rsidR="00120BF9" w:rsidRDefault="00120BF9" w:rsidP="00DB3809">
            <w:pPr>
              <w:spacing w:before="240"/>
            </w:pPr>
            <w:r>
              <w:t>England</w:t>
            </w:r>
          </w:p>
        </w:tc>
        <w:tc>
          <w:tcPr>
            <w:tcW w:w="4134" w:type="dxa"/>
          </w:tcPr>
          <w:p w:rsidR="00120BF9" w:rsidRDefault="00120BF9" w:rsidP="00DB3809">
            <w:pPr>
              <w:spacing w:before="240"/>
              <w:jc w:val="center"/>
            </w:pPr>
            <w:r>
              <w:t>10,268 (11.7%)</w:t>
            </w:r>
          </w:p>
        </w:tc>
      </w:tr>
      <w:tr w:rsidR="00120BF9" w:rsidTr="00DB3809">
        <w:tc>
          <w:tcPr>
            <w:tcW w:w="4087" w:type="dxa"/>
          </w:tcPr>
          <w:p w:rsidR="00120BF9" w:rsidRDefault="00120BF9" w:rsidP="00DB3809">
            <w:pPr>
              <w:spacing w:before="240"/>
            </w:pPr>
            <w:r>
              <w:t>China</w:t>
            </w:r>
          </w:p>
        </w:tc>
        <w:tc>
          <w:tcPr>
            <w:tcW w:w="4134" w:type="dxa"/>
          </w:tcPr>
          <w:p w:rsidR="00120BF9" w:rsidRDefault="00120BF9" w:rsidP="00DB3809">
            <w:pPr>
              <w:spacing w:before="240"/>
              <w:jc w:val="center"/>
            </w:pPr>
            <w:r>
              <w:t>9,882 (183.5%)</w:t>
            </w:r>
          </w:p>
        </w:tc>
      </w:tr>
      <w:tr w:rsidR="00120BF9" w:rsidTr="00DB3809">
        <w:tc>
          <w:tcPr>
            <w:tcW w:w="4087" w:type="dxa"/>
          </w:tcPr>
          <w:p w:rsidR="00120BF9" w:rsidRDefault="00120BF9" w:rsidP="00DB3809">
            <w:pPr>
              <w:spacing w:before="240"/>
            </w:pPr>
            <w:r>
              <w:t>Philippines</w:t>
            </w:r>
          </w:p>
        </w:tc>
        <w:tc>
          <w:tcPr>
            <w:tcW w:w="4134" w:type="dxa"/>
          </w:tcPr>
          <w:p w:rsidR="00120BF9" w:rsidRDefault="00120BF9" w:rsidP="00DB3809">
            <w:pPr>
              <w:spacing w:before="240"/>
              <w:jc w:val="center"/>
            </w:pPr>
            <w:r>
              <w:t>3,632 (73.5%)</w:t>
            </w:r>
          </w:p>
        </w:tc>
      </w:tr>
      <w:tr w:rsidR="00120BF9" w:rsidTr="00DB3809">
        <w:tc>
          <w:tcPr>
            <w:tcW w:w="4087" w:type="dxa"/>
          </w:tcPr>
          <w:p w:rsidR="00120BF9" w:rsidRDefault="00120BF9" w:rsidP="00DB3809">
            <w:pPr>
              <w:spacing w:before="240"/>
            </w:pPr>
            <w:r>
              <w:t>Malaysia</w:t>
            </w:r>
          </w:p>
        </w:tc>
        <w:tc>
          <w:tcPr>
            <w:tcW w:w="4134" w:type="dxa"/>
          </w:tcPr>
          <w:p w:rsidR="00120BF9" w:rsidRDefault="00120BF9" w:rsidP="00DB3809">
            <w:pPr>
              <w:spacing w:before="240"/>
              <w:jc w:val="center"/>
            </w:pPr>
            <w:r>
              <w:t>2,846 (72.5%)</w:t>
            </w:r>
          </w:p>
        </w:tc>
      </w:tr>
      <w:tr w:rsidR="00120BF9" w:rsidTr="00DB3809">
        <w:tc>
          <w:tcPr>
            <w:tcW w:w="4087" w:type="dxa"/>
          </w:tcPr>
          <w:p w:rsidR="00120BF9" w:rsidRDefault="00120BF9" w:rsidP="00DB3809">
            <w:pPr>
              <w:spacing w:before="240"/>
            </w:pPr>
            <w:r>
              <w:t>South Africa</w:t>
            </w:r>
          </w:p>
        </w:tc>
        <w:tc>
          <w:tcPr>
            <w:tcW w:w="4134" w:type="dxa"/>
          </w:tcPr>
          <w:p w:rsidR="00120BF9" w:rsidRDefault="00120BF9" w:rsidP="00DB3809">
            <w:pPr>
              <w:spacing w:before="240"/>
              <w:jc w:val="center"/>
            </w:pPr>
            <w:r>
              <w:t>2,444 (68.3%)</w:t>
            </w:r>
          </w:p>
        </w:tc>
      </w:tr>
      <w:tr w:rsidR="00120BF9" w:rsidTr="00DB3809">
        <w:tc>
          <w:tcPr>
            <w:tcW w:w="4087" w:type="dxa"/>
          </w:tcPr>
          <w:p w:rsidR="00120BF9" w:rsidRDefault="00120BF9" w:rsidP="00DB3809">
            <w:pPr>
              <w:spacing w:before="240"/>
            </w:pPr>
            <w:r>
              <w:t>New Zealand</w:t>
            </w:r>
          </w:p>
        </w:tc>
        <w:tc>
          <w:tcPr>
            <w:tcW w:w="4134" w:type="dxa"/>
          </w:tcPr>
          <w:p w:rsidR="00120BF9" w:rsidRDefault="00120BF9" w:rsidP="00DB3809">
            <w:pPr>
              <w:spacing w:before="240"/>
              <w:jc w:val="center"/>
            </w:pPr>
            <w:r>
              <w:t>2,231 (22.5%)</w:t>
            </w:r>
          </w:p>
        </w:tc>
      </w:tr>
      <w:tr w:rsidR="00120BF9" w:rsidTr="00DB3809">
        <w:tc>
          <w:tcPr>
            <w:tcW w:w="4087" w:type="dxa"/>
          </w:tcPr>
          <w:p w:rsidR="00120BF9" w:rsidRDefault="00120BF9" w:rsidP="00DB3809">
            <w:pPr>
              <w:spacing w:before="240"/>
            </w:pPr>
            <w:r>
              <w:t>Afghanistan</w:t>
            </w:r>
          </w:p>
        </w:tc>
        <w:tc>
          <w:tcPr>
            <w:tcW w:w="4134" w:type="dxa"/>
          </w:tcPr>
          <w:p w:rsidR="00120BF9" w:rsidRDefault="00120BF9" w:rsidP="00DB3809">
            <w:pPr>
              <w:spacing w:before="240"/>
              <w:jc w:val="center"/>
            </w:pPr>
            <w:r>
              <w:t>2,027 (182.0%)</w:t>
            </w:r>
          </w:p>
        </w:tc>
      </w:tr>
      <w:tr w:rsidR="00120BF9" w:rsidTr="00DB3809">
        <w:tc>
          <w:tcPr>
            <w:tcW w:w="4087" w:type="dxa"/>
          </w:tcPr>
          <w:p w:rsidR="00120BF9" w:rsidRDefault="00120BF9" w:rsidP="00DB3809">
            <w:pPr>
              <w:spacing w:before="240"/>
            </w:pPr>
            <w:r>
              <w:t>South Africa</w:t>
            </w:r>
          </w:p>
        </w:tc>
        <w:tc>
          <w:tcPr>
            <w:tcW w:w="4134" w:type="dxa"/>
          </w:tcPr>
          <w:p w:rsidR="00120BF9" w:rsidRDefault="00120BF9" w:rsidP="00DB3809">
            <w:pPr>
              <w:spacing w:before="240"/>
              <w:jc w:val="center"/>
            </w:pPr>
            <w:r>
              <w:t>1,899 (156.4%)</w:t>
            </w:r>
          </w:p>
        </w:tc>
      </w:tr>
      <w:tr w:rsidR="00120BF9" w:rsidTr="00DB3809">
        <w:tc>
          <w:tcPr>
            <w:tcW w:w="4087" w:type="dxa"/>
          </w:tcPr>
          <w:p w:rsidR="00120BF9" w:rsidRDefault="00120BF9" w:rsidP="00DB3809">
            <w:pPr>
              <w:spacing w:before="240"/>
            </w:pPr>
            <w:r>
              <w:t>Vietnam</w:t>
            </w:r>
          </w:p>
        </w:tc>
        <w:tc>
          <w:tcPr>
            <w:tcW w:w="4134" w:type="dxa"/>
          </w:tcPr>
          <w:p w:rsidR="00120BF9" w:rsidRDefault="00120BF9" w:rsidP="00DB3809">
            <w:pPr>
              <w:spacing w:before="240"/>
              <w:jc w:val="center"/>
            </w:pPr>
            <w:r>
              <w:t>1,715 (17.9%)</w:t>
            </w:r>
          </w:p>
        </w:tc>
      </w:tr>
    </w:tbl>
    <w:p w:rsidR="00120BF9" w:rsidRDefault="006C7C9F" w:rsidP="00120BF9">
      <w:pPr>
        <w:spacing w:before="240"/>
      </w:pPr>
      <w:r>
        <w:t xml:space="preserve">The above table shows </w:t>
      </w:r>
      <w:proofErr w:type="gramStart"/>
      <w:r>
        <w:t>ABS  2011</w:t>
      </w:r>
      <w:proofErr w:type="gramEnd"/>
      <w:r>
        <w:t xml:space="preserve"> data which demonstrates some massive percentage increase in recent South Australian arrivals, particularly from India, China, Afghanistan and South Africa.</w:t>
      </w:r>
    </w:p>
    <w:p w:rsidR="006C7C9F" w:rsidRDefault="006C7C9F" w:rsidP="00507EF3">
      <w:pPr>
        <w:spacing w:before="0" w:after="0" w:line="240" w:lineRule="auto"/>
      </w:pPr>
    </w:p>
    <w:p w:rsidR="001826F4" w:rsidRDefault="00BF7CE2" w:rsidP="00507EF3">
      <w:pPr>
        <w:spacing w:before="0" w:after="0" w:line="240" w:lineRule="auto"/>
      </w:pPr>
      <w:r>
        <w:t>In 2011-12 t</w:t>
      </w:r>
      <w:r w:rsidR="001826F4">
        <w:t>he languages with the largest borrowings (more than 10,000 items) were:</w:t>
      </w:r>
    </w:p>
    <w:p w:rsidR="001826F4" w:rsidRPr="001826F4" w:rsidRDefault="001826F4" w:rsidP="00F00558">
      <w:pPr>
        <w:pStyle w:val="ListParagraph"/>
        <w:numPr>
          <w:ilvl w:val="0"/>
          <w:numId w:val="25"/>
        </w:numPr>
        <w:tabs>
          <w:tab w:val="right" w:pos="3544"/>
        </w:tabs>
        <w:spacing w:before="40" w:after="40"/>
        <w:contextualSpacing w:val="0"/>
        <w:rPr>
          <w:lang w:eastAsia="en-AU"/>
        </w:rPr>
      </w:pPr>
      <w:r w:rsidRPr="001826F4">
        <w:rPr>
          <w:lang w:eastAsia="en-AU"/>
        </w:rPr>
        <w:t>Vietnamese</w:t>
      </w:r>
      <w:r w:rsidRPr="001826F4">
        <w:rPr>
          <w:lang w:eastAsia="en-AU"/>
        </w:rPr>
        <w:tab/>
        <w:t>122</w:t>
      </w:r>
      <w:r w:rsidR="001152D6">
        <w:rPr>
          <w:lang w:eastAsia="en-AU"/>
        </w:rPr>
        <w:t>,</w:t>
      </w:r>
      <w:r w:rsidRPr="001826F4">
        <w:rPr>
          <w:lang w:eastAsia="en-AU"/>
        </w:rPr>
        <w:t>650</w:t>
      </w:r>
    </w:p>
    <w:p w:rsidR="001826F4" w:rsidRPr="001826F4" w:rsidRDefault="001826F4" w:rsidP="00F00558">
      <w:pPr>
        <w:pStyle w:val="ListParagraph"/>
        <w:numPr>
          <w:ilvl w:val="0"/>
          <w:numId w:val="25"/>
        </w:numPr>
        <w:tabs>
          <w:tab w:val="right" w:pos="3544"/>
        </w:tabs>
        <w:spacing w:before="40" w:after="40"/>
        <w:contextualSpacing w:val="0"/>
        <w:rPr>
          <w:lang w:eastAsia="en-AU"/>
        </w:rPr>
      </w:pPr>
      <w:r w:rsidRPr="001826F4">
        <w:rPr>
          <w:lang w:eastAsia="en-AU"/>
        </w:rPr>
        <w:t>Chinese</w:t>
      </w:r>
      <w:r w:rsidRPr="001826F4">
        <w:rPr>
          <w:lang w:eastAsia="en-AU"/>
        </w:rPr>
        <w:tab/>
        <w:t>61</w:t>
      </w:r>
      <w:r w:rsidR="001152D6">
        <w:rPr>
          <w:lang w:eastAsia="en-AU"/>
        </w:rPr>
        <w:t>,</w:t>
      </w:r>
      <w:r w:rsidRPr="001826F4">
        <w:rPr>
          <w:lang w:eastAsia="en-AU"/>
        </w:rPr>
        <w:t>736</w:t>
      </w:r>
    </w:p>
    <w:p w:rsidR="001826F4" w:rsidRPr="001826F4" w:rsidRDefault="001826F4" w:rsidP="00F00558">
      <w:pPr>
        <w:pStyle w:val="ListParagraph"/>
        <w:numPr>
          <w:ilvl w:val="0"/>
          <w:numId w:val="25"/>
        </w:numPr>
        <w:tabs>
          <w:tab w:val="right" w:pos="3544"/>
        </w:tabs>
        <w:spacing w:before="40" w:after="40"/>
        <w:contextualSpacing w:val="0"/>
        <w:rPr>
          <w:lang w:eastAsia="en-AU"/>
        </w:rPr>
      </w:pPr>
      <w:r w:rsidRPr="001826F4">
        <w:rPr>
          <w:lang w:eastAsia="en-AU"/>
        </w:rPr>
        <w:t>Hindi</w:t>
      </w:r>
      <w:r w:rsidRPr="001826F4">
        <w:rPr>
          <w:lang w:eastAsia="en-AU"/>
        </w:rPr>
        <w:tab/>
        <w:t>39</w:t>
      </w:r>
      <w:r w:rsidR="001152D6">
        <w:rPr>
          <w:lang w:eastAsia="en-AU"/>
        </w:rPr>
        <w:t>,</w:t>
      </w:r>
      <w:r w:rsidRPr="001826F4">
        <w:rPr>
          <w:lang w:eastAsia="en-AU"/>
        </w:rPr>
        <w:t>090</w:t>
      </w:r>
    </w:p>
    <w:p w:rsidR="001826F4" w:rsidRPr="001826F4" w:rsidRDefault="001826F4" w:rsidP="00F00558">
      <w:pPr>
        <w:pStyle w:val="ListParagraph"/>
        <w:numPr>
          <w:ilvl w:val="0"/>
          <w:numId w:val="25"/>
        </w:numPr>
        <w:tabs>
          <w:tab w:val="right" w:pos="3544"/>
        </w:tabs>
        <w:spacing w:before="40" w:after="40"/>
        <w:contextualSpacing w:val="0"/>
        <w:rPr>
          <w:lang w:eastAsia="en-AU"/>
        </w:rPr>
      </w:pPr>
      <w:r w:rsidRPr="001826F4">
        <w:rPr>
          <w:lang w:eastAsia="en-AU"/>
        </w:rPr>
        <w:t>Italian</w:t>
      </w:r>
      <w:r w:rsidRPr="001826F4">
        <w:rPr>
          <w:lang w:eastAsia="en-AU"/>
        </w:rPr>
        <w:tab/>
        <w:t>27</w:t>
      </w:r>
      <w:r w:rsidR="001152D6">
        <w:rPr>
          <w:lang w:eastAsia="en-AU"/>
        </w:rPr>
        <w:t>,</w:t>
      </w:r>
      <w:r w:rsidRPr="001826F4">
        <w:rPr>
          <w:lang w:eastAsia="en-AU"/>
        </w:rPr>
        <w:t>382</w:t>
      </w:r>
    </w:p>
    <w:p w:rsidR="001826F4" w:rsidRPr="001826F4" w:rsidRDefault="001826F4" w:rsidP="00F00558">
      <w:pPr>
        <w:pStyle w:val="ListParagraph"/>
        <w:numPr>
          <w:ilvl w:val="0"/>
          <w:numId w:val="25"/>
        </w:numPr>
        <w:tabs>
          <w:tab w:val="right" w:pos="3544"/>
        </w:tabs>
        <w:spacing w:before="40" w:after="40"/>
        <w:contextualSpacing w:val="0"/>
        <w:rPr>
          <w:lang w:eastAsia="en-AU"/>
        </w:rPr>
      </w:pPr>
      <w:r w:rsidRPr="001826F4">
        <w:rPr>
          <w:lang w:eastAsia="en-AU"/>
        </w:rPr>
        <w:t>Greek</w:t>
      </w:r>
      <w:r w:rsidRPr="001826F4">
        <w:rPr>
          <w:lang w:eastAsia="en-AU"/>
        </w:rPr>
        <w:tab/>
        <w:t>14</w:t>
      </w:r>
      <w:r w:rsidR="001152D6">
        <w:rPr>
          <w:lang w:eastAsia="en-AU"/>
        </w:rPr>
        <w:t>,</w:t>
      </w:r>
      <w:r w:rsidRPr="001826F4">
        <w:rPr>
          <w:lang w:eastAsia="en-AU"/>
        </w:rPr>
        <w:t>801</w:t>
      </w:r>
    </w:p>
    <w:p w:rsidR="001826F4" w:rsidRPr="001826F4" w:rsidRDefault="001826F4" w:rsidP="00F00558">
      <w:pPr>
        <w:pStyle w:val="ListParagraph"/>
        <w:numPr>
          <w:ilvl w:val="0"/>
          <w:numId w:val="25"/>
        </w:numPr>
        <w:tabs>
          <w:tab w:val="right" w:pos="3544"/>
        </w:tabs>
        <w:spacing w:before="40" w:after="40"/>
        <w:contextualSpacing w:val="0"/>
        <w:rPr>
          <w:lang w:eastAsia="en-AU"/>
        </w:rPr>
      </w:pPr>
      <w:r w:rsidRPr="001826F4">
        <w:rPr>
          <w:lang w:eastAsia="en-AU"/>
        </w:rPr>
        <w:t>Japanese</w:t>
      </w:r>
      <w:r w:rsidRPr="001826F4">
        <w:rPr>
          <w:lang w:eastAsia="en-AU"/>
        </w:rPr>
        <w:tab/>
        <w:t>12</w:t>
      </w:r>
      <w:r w:rsidR="001152D6">
        <w:rPr>
          <w:lang w:eastAsia="en-AU"/>
        </w:rPr>
        <w:t>,</w:t>
      </w:r>
      <w:r w:rsidRPr="001826F4">
        <w:rPr>
          <w:lang w:eastAsia="en-AU"/>
        </w:rPr>
        <w:t>282</w:t>
      </w:r>
    </w:p>
    <w:p w:rsidR="001826F4" w:rsidRPr="001826F4" w:rsidRDefault="001826F4" w:rsidP="00F00558">
      <w:pPr>
        <w:pStyle w:val="ListParagraph"/>
        <w:numPr>
          <w:ilvl w:val="0"/>
          <w:numId w:val="25"/>
        </w:numPr>
        <w:tabs>
          <w:tab w:val="right" w:pos="3544"/>
        </w:tabs>
        <w:spacing w:before="40" w:after="40"/>
        <w:contextualSpacing w:val="0"/>
        <w:rPr>
          <w:lang w:eastAsia="en-AU"/>
        </w:rPr>
      </w:pPr>
      <w:r w:rsidRPr="001826F4">
        <w:rPr>
          <w:lang w:eastAsia="en-AU"/>
        </w:rPr>
        <w:t>Polish</w:t>
      </w:r>
      <w:r w:rsidRPr="001826F4">
        <w:rPr>
          <w:lang w:eastAsia="en-AU"/>
        </w:rPr>
        <w:tab/>
        <w:t>10</w:t>
      </w:r>
      <w:r w:rsidR="001152D6">
        <w:rPr>
          <w:lang w:eastAsia="en-AU"/>
        </w:rPr>
        <w:t>,</w:t>
      </w:r>
      <w:r w:rsidRPr="001826F4">
        <w:rPr>
          <w:lang w:eastAsia="en-AU"/>
        </w:rPr>
        <w:t>865</w:t>
      </w:r>
    </w:p>
    <w:p w:rsidR="001826F4" w:rsidRPr="001826F4" w:rsidRDefault="001826F4" w:rsidP="00F00558">
      <w:pPr>
        <w:pStyle w:val="ListParagraph"/>
        <w:numPr>
          <w:ilvl w:val="0"/>
          <w:numId w:val="25"/>
        </w:numPr>
        <w:tabs>
          <w:tab w:val="right" w:pos="3544"/>
        </w:tabs>
        <w:spacing w:before="40" w:after="40"/>
        <w:contextualSpacing w:val="0"/>
        <w:rPr>
          <w:lang w:eastAsia="en-AU"/>
        </w:rPr>
      </w:pPr>
      <w:r w:rsidRPr="001826F4">
        <w:rPr>
          <w:lang w:eastAsia="en-AU"/>
        </w:rPr>
        <w:t>Russian</w:t>
      </w:r>
      <w:r w:rsidRPr="001826F4">
        <w:rPr>
          <w:lang w:eastAsia="en-AU"/>
        </w:rPr>
        <w:tab/>
        <w:t>10</w:t>
      </w:r>
      <w:r w:rsidR="001152D6">
        <w:rPr>
          <w:lang w:eastAsia="en-AU"/>
        </w:rPr>
        <w:t>,</w:t>
      </w:r>
      <w:r w:rsidRPr="001826F4">
        <w:rPr>
          <w:lang w:eastAsia="en-AU"/>
        </w:rPr>
        <w:t>643</w:t>
      </w:r>
    </w:p>
    <w:p w:rsidR="001826F4" w:rsidRPr="001826F4" w:rsidRDefault="001826F4" w:rsidP="00F00558">
      <w:pPr>
        <w:pStyle w:val="ListParagraph"/>
        <w:numPr>
          <w:ilvl w:val="0"/>
          <w:numId w:val="25"/>
        </w:numPr>
        <w:tabs>
          <w:tab w:val="right" w:pos="3544"/>
        </w:tabs>
        <w:spacing w:before="40" w:after="40"/>
        <w:contextualSpacing w:val="0"/>
        <w:rPr>
          <w:lang w:eastAsia="en-AU"/>
        </w:rPr>
      </w:pPr>
      <w:r w:rsidRPr="001826F4">
        <w:rPr>
          <w:lang w:eastAsia="en-AU"/>
        </w:rPr>
        <w:t>Malayalam</w:t>
      </w:r>
      <w:r w:rsidRPr="001826F4">
        <w:rPr>
          <w:lang w:eastAsia="en-AU"/>
        </w:rPr>
        <w:tab/>
        <w:t>10</w:t>
      </w:r>
      <w:r w:rsidR="001152D6">
        <w:rPr>
          <w:lang w:eastAsia="en-AU"/>
        </w:rPr>
        <w:t>,</w:t>
      </w:r>
      <w:r w:rsidRPr="001826F4">
        <w:rPr>
          <w:lang w:eastAsia="en-AU"/>
        </w:rPr>
        <w:t>488</w:t>
      </w:r>
    </w:p>
    <w:p w:rsidR="001152D6" w:rsidRDefault="001152D6" w:rsidP="00F00558">
      <w:pPr>
        <w:spacing w:before="40" w:after="40"/>
      </w:pPr>
    </w:p>
    <w:p w:rsidR="00AE11C1" w:rsidRDefault="00AE11C1" w:rsidP="00BA16BC">
      <w:pPr>
        <w:spacing w:before="240"/>
      </w:pPr>
      <w:r>
        <w:t>The correlation between reading and usage compared to the size of CALD Populations is variable and may depend on factors such as age</w:t>
      </w:r>
      <w:r w:rsidR="000F6D55">
        <w:t>,</w:t>
      </w:r>
      <w:r>
        <w:t xml:space="preserve"> demographics, education, </w:t>
      </w:r>
      <w:r w:rsidR="00EA1863">
        <w:t>and the availability and volume of stock.</w:t>
      </w:r>
    </w:p>
    <w:p w:rsidR="006D0F1C" w:rsidRDefault="006D0F1C" w:rsidP="006D0F1C">
      <w:pPr>
        <w:pStyle w:val="Heading1"/>
      </w:pPr>
      <w:bookmarkStart w:id="8" w:name="_Toc374595979"/>
      <w:r>
        <w:t>What are we doing well?</w:t>
      </w:r>
      <w:bookmarkEnd w:id="8"/>
    </w:p>
    <w:p w:rsidR="009E49C8" w:rsidRDefault="009E49C8" w:rsidP="009E49C8">
      <w:r>
        <w:t>Workshop participants were asked to discuss what was working well with Community Languages services. The responses fell into two categories: things that are working well across the network; and exemplars from individual libraries.</w:t>
      </w:r>
    </w:p>
    <w:p w:rsidR="00DD0D3A" w:rsidRDefault="00DD0D3A" w:rsidP="009E49C8">
      <w:r>
        <w:t xml:space="preserve">The 1LMS was the stand-out example of something that is working well across the sector (noting that not all libraries have migrated to the 1LMS at this stage). Library staff also felt that </w:t>
      </w:r>
      <w:r w:rsidR="00112C02">
        <w:t>librari</w:t>
      </w:r>
      <w:r w:rsidR="00DF48DF">
        <w:t>es are</w:t>
      </w:r>
      <w:r>
        <w:t xml:space="preserve"> better </w:t>
      </w:r>
      <w:r w:rsidR="00DF48DF">
        <w:t xml:space="preserve">at </w:t>
      </w:r>
      <w:r>
        <w:t>community planning and engagement.</w:t>
      </w:r>
    </w:p>
    <w:p w:rsidR="00863AC1" w:rsidRPr="00641402" w:rsidRDefault="004672DB" w:rsidP="009E49C8">
      <w:r>
        <w:t>Individual libraries have different intelligence-gathering strategies, responsive program</w:t>
      </w:r>
      <w:r w:rsidR="005B10EE">
        <w:t>ming, and a cohort of ESL users, which reflect a reputation for collections and service, rather</w:t>
      </w:r>
      <w:r w:rsidR="00863AC1">
        <w:t xml:space="preserve"> t</w:t>
      </w:r>
      <w:r w:rsidR="006349FB">
        <w:t>han specific local catchments</w:t>
      </w:r>
      <w:r w:rsidR="00641402">
        <w:t xml:space="preserve">. The </w:t>
      </w:r>
      <w:r w:rsidR="00641402">
        <w:rPr>
          <w:i/>
        </w:rPr>
        <w:t>Community Languages Loans by Library</w:t>
      </w:r>
      <w:r w:rsidR="00641402">
        <w:t xml:space="preserve"> graph shows that Councils with a high proportion of people who speak a langua</w:t>
      </w:r>
      <w:r w:rsidR="006349FB">
        <w:t xml:space="preserve">ge other than English at home </w:t>
      </w:r>
      <w:r w:rsidR="00641402">
        <w:t xml:space="preserve">have correspondingly high CALD borrowings. </w:t>
      </w:r>
    </w:p>
    <w:p w:rsidR="00641402" w:rsidRDefault="00641402" w:rsidP="009E49C8"/>
    <w:p w:rsidR="000B63CF" w:rsidRDefault="00FF1271" w:rsidP="003E7D83">
      <w:r w:rsidRPr="00FF1271">
        <w:rPr>
          <w:noProof/>
          <w:lang w:eastAsia="en-AU"/>
        </w:rPr>
        <w:drawing>
          <wp:inline distT="0" distB="0" distL="0" distR="0" wp14:anchorId="5B26D5B0" wp14:editId="7BE0B659">
            <wp:extent cx="5537676" cy="2743200"/>
            <wp:effectExtent l="0" t="0" r="25400" b="1905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63CF" w:rsidRDefault="000B63CF" w:rsidP="003E7D83"/>
    <w:p w:rsidR="000B63CF" w:rsidRDefault="000B63CF" w:rsidP="00255C7D"/>
    <w:p w:rsidR="004C2D44" w:rsidRDefault="004C2D44" w:rsidP="00255C7D">
      <w:r>
        <w:t xml:space="preserve">Refer to Appendix C for </w:t>
      </w:r>
      <w:r w:rsidR="00FF1271">
        <w:t xml:space="preserve">a summary table of </w:t>
      </w:r>
      <w:r>
        <w:t>CALD borrowings per library.</w:t>
      </w:r>
    </w:p>
    <w:p w:rsidR="00255C7D" w:rsidRDefault="00255C7D" w:rsidP="00255C7D">
      <w:r>
        <w:t xml:space="preserve">The workshop highlighted opportunities </w:t>
      </w:r>
      <w:r w:rsidR="00156D24">
        <w:t>for libraries a</w:t>
      </w:r>
      <w:r w:rsidR="00372E0A">
        <w:t>t</w:t>
      </w:r>
      <w:r w:rsidR="00156D24">
        <w:t xml:space="preserve"> the local level </w:t>
      </w:r>
      <w:r>
        <w:t>to work more closely with multicultural groups such as the Migrant Resource Centre and Australian Refugees Association which have good int</w:t>
      </w:r>
      <w:r w:rsidR="00372E0A">
        <w:t>elligence about new communities</w:t>
      </w:r>
      <w:r>
        <w:t xml:space="preserve"> and can assist in providing information to new arrivals.</w:t>
      </w:r>
    </w:p>
    <w:p w:rsidR="00990F87" w:rsidRDefault="00990F87" w:rsidP="003727BD">
      <w:pPr>
        <w:rPr>
          <w:rFonts w:eastAsiaTheme="majorEastAsia"/>
          <w:kern w:val="32"/>
        </w:rPr>
      </w:pPr>
    </w:p>
    <w:p w:rsidR="00E91641" w:rsidRDefault="00990F87" w:rsidP="00990F87">
      <w:pPr>
        <w:pStyle w:val="Heading1"/>
      </w:pPr>
      <w:bookmarkStart w:id="9" w:name="_Toc374595980"/>
      <w:r>
        <w:t xml:space="preserve">What </w:t>
      </w:r>
      <w:r w:rsidR="00E33D35">
        <w:t>do we need to change</w:t>
      </w:r>
      <w:r>
        <w:t>?</w:t>
      </w:r>
      <w:bookmarkEnd w:id="9"/>
    </w:p>
    <w:p w:rsidR="002F02B0" w:rsidRDefault="006D3450" w:rsidP="002F02B0">
      <w:r>
        <w:t xml:space="preserve">The workshop also investigated </w:t>
      </w:r>
      <w:r w:rsidR="0067389D">
        <w:t>the issues that should be addressed in the Strategy</w:t>
      </w:r>
      <w:r>
        <w:t xml:space="preserve"> (</w:t>
      </w:r>
      <w:r w:rsidR="00CB4A90">
        <w:t>Refer to</w:t>
      </w:r>
      <w:r>
        <w:t xml:space="preserve"> Appendix</w:t>
      </w:r>
      <w:r w:rsidR="004C2D44">
        <w:t xml:space="preserve"> </w:t>
      </w:r>
      <w:r w:rsidR="00372E0A">
        <w:t>E</w:t>
      </w:r>
      <w:r w:rsidR="00386E5D">
        <w:t xml:space="preserve">, Issues and Appendix </w:t>
      </w:r>
      <w:r w:rsidR="00372E0A">
        <w:t>F</w:t>
      </w:r>
      <w:r w:rsidR="00386E5D">
        <w:t>, Good Practice</w:t>
      </w:r>
      <w:r w:rsidR="0094369F">
        <w:t>)</w:t>
      </w:r>
      <w:r w:rsidR="0067389D">
        <w:t xml:space="preserve">, </w:t>
      </w:r>
      <w:r w:rsidR="002F02B0">
        <w:t>summarised here:</w:t>
      </w:r>
    </w:p>
    <w:p w:rsidR="002F02B0" w:rsidRDefault="005B5C49" w:rsidP="005B5C49">
      <w:pPr>
        <w:pStyle w:val="ListParagraph"/>
        <w:numPr>
          <w:ilvl w:val="0"/>
          <w:numId w:val="13"/>
        </w:numPr>
        <w:ind w:left="714" w:hanging="357"/>
        <w:contextualSpacing w:val="0"/>
      </w:pPr>
      <w:r w:rsidRPr="002C6353">
        <w:rPr>
          <w:b/>
        </w:rPr>
        <w:t>Responsiveness</w:t>
      </w:r>
      <w:r>
        <w:t xml:space="preserve"> is becoming a key issue, communities are changing rapidly and we're getting new migrants from cultures we know little about - </w:t>
      </w:r>
      <w:r w:rsidR="006A18FB">
        <w:t xml:space="preserve">intelligence provided by </w:t>
      </w:r>
      <w:r>
        <w:t xml:space="preserve">Census data (at intervals of five years) </w:t>
      </w:r>
      <w:r w:rsidR="006A18FB">
        <w:t xml:space="preserve">is insufficient for understanding </w:t>
      </w:r>
      <w:r>
        <w:t>large numbers of new arrivals.</w:t>
      </w:r>
    </w:p>
    <w:p w:rsidR="005B5C49" w:rsidRDefault="005B5C49" w:rsidP="005B5C49">
      <w:pPr>
        <w:pStyle w:val="ListParagraph"/>
        <w:numPr>
          <w:ilvl w:val="0"/>
          <w:numId w:val="13"/>
        </w:numPr>
        <w:ind w:left="714" w:hanging="357"/>
        <w:contextualSpacing w:val="0"/>
      </w:pPr>
      <w:r>
        <w:t xml:space="preserve">We need to get out there with better </w:t>
      </w:r>
      <w:r w:rsidRPr="002C6353">
        <w:rPr>
          <w:b/>
        </w:rPr>
        <w:t>information to new migrant communities</w:t>
      </w:r>
      <w:r>
        <w:t>, perhaps FAQs in different languages on our website. Also they may not know that libraries are free, or if they do, they may not be aware of the cost of overdue borrowing - we don't want to contribute to debt.</w:t>
      </w:r>
    </w:p>
    <w:p w:rsidR="004342B4" w:rsidRDefault="004342B4" w:rsidP="005B5C49">
      <w:pPr>
        <w:pStyle w:val="ListParagraph"/>
        <w:numPr>
          <w:ilvl w:val="0"/>
          <w:numId w:val="13"/>
        </w:numPr>
        <w:ind w:left="714" w:hanging="357"/>
        <w:contextualSpacing w:val="0"/>
      </w:pPr>
      <w:r w:rsidRPr="002C6353">
        <w:rPr>
          <w:b/>
        </w:rPr>
        <w:t xml:space="preserve">Library </w:t>
      </w:r>
      <w:proofErr w:type="gramStart"/>
      <w:r w:rsidRPr="002C6353">
        <w:rPr>
          <w:b/>
        </w:rPr>
        <w:t>staff need</w:t>
      </w:r>
      <w:proofErr w:type="gramEnd"/>
      <w:r w:rsidRPr="002C6353">
        <w:rPr>
          <w:b/>
        </w:rPr>
        <w:t xml:space="preserve"> training</w:t>
      </w:r>
      <w:r>
        <w:t xml:space="preserve"> in how to manage different cultures. There are two aspects to this: being appropriate in specific situations; and having a set of general principals that will guide us most of the time.</w:t>
      </w:r>
    </w:p>
    <w:p w:rsidR="002E7C8F" w:rsidRDefault="002E7C8F" w:rsidP="002E7C8F">
      <w:pPr>
        <w:pStyle w:val="ListParagraph"/>
        <w:numPr>
          <w:ilvl w:val="0"/>
          <w:numId w:val="13"/>
        </w:numPr>
        <w:ind w:left="714" w:hanging="357"/>
        <w:contextualSpacing w:val="0"/>
      </w:pPr>
      <w:r>
        <w:t xml:space="preserve">There appears to be a need for more </w:t>
      </w:r>
      <w:r w:rsidRPr="009A07AE">
        <w:rPr>
          <w:b/>
        </w:rPr>
        <w:t>online information in different languages</w:t>
      </w:r>
      <w:r>
        <w:t>, perhaps a different language option on the 1LMS, or FAQs in different languages. The covers for CALD books are not always shown and the text is not searchable.</w:t>
      </w:r>
    </w:p>
    <w:p w:rsidR="00BF69AC" w:rsidRDefault="00BF69AC" w:rsidP="005B5C49">
      <w:pPr>
        <w:pStyle w:val="ListParagraph"/>
        <w:numPr>
          <w:ilvl w:val="0"/>
          <w:numId w:val="13"/>
        </w:numPr>
        <w:ind w:left="714" w:hanging="357"/>
        <w:contextualSpacing w:val="0"/>
      </w:pPr>
      <w:r>
        <w:t xml:space="preserve">Very few libraries are involved in </w:t>
      </w:r>
      <w:r w:rsidRPr="002C6353">
        <w:rPr>
          <w:b/>
        </w:rPr>
        <w:t>CALD programs</w:t>
      </w:r>
      <w:r>
        <w:t xml:space="preserve">, but there are some that are doing it very well. We need to be able to share </w:t>
      </w:r>
      <w:r w:rsidR="009A07AE">
        <w:t>knowledge, resources and personnel</w:t>
      </w:r>
      <w:r>
        <w:t>.</w:t>
      </w:r>
      <w:r w:rsidR="002E47B8">
        <w:t xml:space="preserve"> We should have a program that can be rolled out across a number of libraries for early literacy (e.g. Baby Bounce) for the larger new arrival populations.</w:t>
      </w:r>
    </w:p>
    <w:p w:rsidR="00603778" w:rsidRDefault="00603778" w:rsidP="005B5C49">
      <w:pPr>
        <w:pStyle w:val="ListParagraph"/>
        <w:numPr>
          <w:ilvl w:val="0"/>
          <w:numId w:val="13"/>
        </w:numPr>
        <w:ind w:left="714" w:hanging="357"/>
        <w:contextualSpacing w:val="0"/>
      </w:pPr>
      <w:r>
        <w:t>Is the current model where a few libraries receive new materials for specific language groups the right way to go forward under the 1LMS?</w:t>
      </w:r>
      <w:r w:rsidR="000E3853">
        <w:t xml:space="preserve"> Should we be thinking of </w:t>
      </w:r>
      <w:r w:rsidR="000E3853" w:rsidRPr="002C6353">
        <w:rPr>
          <w:b/>
        </w:rPr>
        <w:t>centralising the collection</w:t>
      </w:r>
      <w:r w:rsidR="000E3853">
        <w:t xml:space="preserve">? Or will this sort out when we </w:t>
      </w:r>
      <w:r w:rsidR="007A5442">
        <w:t>streamline the</w:t>
      </w:r>
      <w:r w:rsidR="000E3853">
        <w:t xml:space="preserve"> cataloguing?</w:t>
      </w:r>
    </w:p>
    <w:p w:rsidR="007A5442" w:rsidRDefault="007A5442" w:rsidP="005B5C49">
      <w:pPr>
        <w:pStyle w:val="ListParagraph"/>
        <w:numPr>
          <w:ilvl w:val="0"/>
          <w:numId w:val="13"/>
        </w:numPr>
        <w:ind w:left="714" w:hanging="357"/>
        <w:contextualSpacing w:val="0"/>
      </w:pPr>
      <w:r>
        <w:t xml:space="preserve">Should libraries be thinking about </w:t>
      </w:r>
      <w:r w:rsidRPr="002C6353">
        <w:rPr>
          <w:b/>
        </w:rPr>
        <w:t>different cohorts of migrants</w:t>
      </w:r>
      <w:r>
        <w:t>: students, new arrivals, business/skilled migrants, long standing residents? It seems that they have different needs.</w:t>
      </w:r>
      <w:r w:rsidR="004E4ECC">
        <w:t xml:space="preserve"> Do we have signs in the main languages to help people navigate the library and feel comfortable asking for help?</w:t>
      </w:r>
    </w:p>
    <w:p w:rsidR="002C6353" w:rsidRDefault="002C6353" w:rsidP="005B5C49">
      <w:pPr>
        <w:pStyle w:val="ListParagraph"/>
        <w:numPr>
          <w:ilvl w:val="0"/>
          <w:numId w:val="13"/>
        </w:numPr>
        <w:ind w:left="714" w:hanging="357"/>
        <w:contextualSpacing w:val="0"/>
      </w:pPr>
      <w:r>
        <w:t xml:space="preserve">Do we continue to purchase </w:t>
      </w:r>
      <w:r w:rsidRPr="002C6353">
        <w:rPr>
          <w:b/>
        </w:rPr>
        <w:t xml:space="preserve">DVDs </w:t>
      </w:r>
      <w:r>
        <w:t>ourselves, or can we arrange a better system re Australian Classification?</w:t>
      </w:r>
    </w:p>
    <w:p w:rsidR="0089108C" w:rsidRDefault="0089108C" w:rsidP="0089108C">
      <w:pPr>
        <w:pStyle w:val="ListParagraph"/>
        <w:numPr>
          <w:ilvl w:val="0"/>
          <w:numId w:val="13"/>
        </w:numPr>
        <w:ind w:left="714" w:hanging="357"/>
        <w:contextualSpacing w:val="0"/>
      </w:pPr>
      <w:r>
        <w:t xml:space="preserve">What community and agency groups can we </w:t>
      </w:r>
      <w:r w:rsidRPr="002C6353">
        <w:rPr>
          <w:b/>
        </w:rPr>
        <w:t>affiliate</w:t>
      </w:r>
      <w:r>
        <w:t xml:space="preserve"> with to improve services for new migrants and help us with better knowledge of new groups coming into our areas?</w:t>
      </w:r>
    </w:p>
    <w:p w:rsidR="006C2B1F" w:rsidRDefault="00002554" w:rsidP="006C2B1F">
      <w:pPr>
        <w:pStyle w:val="ListParagraph"/>
        <w:numPr>
          <w:ilvl w:val="0"/>
          <w:numId w:val="13"/>
        </w:numPr>
        <w:ind w:left="714" w:hanging="357"/>
        <w:contextualSpacing w:val="0"/>
        <w:sectPr w:rsidR="006C2B1F" w:rsidSect="002E0C1F">
          <w:headerReference w:type="default" r:id="rId13"/>
          <w:footerReference w:type="default" r:id="rId14"/>
          <w:pgSz w:w="11906" w:h="16838"/>
          <w:pgMar w:top="1440" w:right="1440" w:bottom="1440" w:left="1440" w:header="708" w:footer="708" w:gutter="0"/>
          <w:pgNumType w:start="0"/>
          <w:cols w:space="708"/>
          <w:titlePg/>
          <w:docGrid w:linePitch="360"/>
        </w:sectPr>
      </w:pPr>
      <w:r>
        <w:t xml:space="preserve">Can we manage the </w:t>
      </w:r>
      <w:r w:rsidRPr="006C2B1F">
        <w:rPr>
          <w:b/>
        </w:rPr>
        <w:t>Long Tail</w:t>
      </w:r>
      <w:r>
        <w:t xml:space="preserve"> with 1LMS? Are we restricted to 20 main languages?</w:t>
      </w:r>
      <w:r w:rsidR="006C2B1F">
        <w:t xml:space="preserve"> </w:t>
      </w:r>
      <w:r w:rsidR="006C2B1F">
        <w:br/>
      </w:r>
      <w:r w:rsidR="006C2B1F">
        <w:tab/>
        <w:t xml:space="preserve">See long tail graph on </w:t>
      </w:r>
      <w:r w:rsidR="009A4B4C">
        <w:t>p. 10</w:t>
      </w:r>
      <w:r w:rsidR="006C2B1F">
        <w:t>.</w:t>
      </w:r>
    </w:p>
    <w:p w:rsidR="002F02B0" w:rsidRDefault="00424925" w:rsidP="005F79E8">
      <w:r>
        <w:rPr>
          <w:noProof/>
          <w:lang w:eastAsia="en-AU"/>
        </w:rPr>
        <w:drawing>
          <wp:inline distT="0" distB="0" distL="0" distR="0" wp14:anchorId="59B25217" wp14:editId="1F567464">
            <wp:extent cx="8261684" cy="5277853"/>
            <wp:effectExtent l="0" t="0" r="2540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C2B1F" w:rsidRDefault="006C2B1F" w:rsidP="00337BB1">
      <w:pPr>
        <w:pStyle w:val="Heading1"/>
        <w:sectPr w:rsidR="006C2B1F" w:rsidSect="006C2B1F">
          <w:footerReference w:type="default" r:id="rId16"/>
          <w:pgSz w:w="16838" w:h="11906" w:orient="landscape"/>
          <w:pgMar w:top="1440" w:right="1440" w:bottom="1440" w:left="1440" w:header="708" w:footer="708" w:gutter="0"/>
          <w:cols w:space="708"/>
          <w:docGrid w:linePitch="360"/>
        </w:sectPr>
      </w:pPr>
    </w:p>
    <w:p w:rsidR="00812C10" w:rsidRDefault="00801E45" w:rsidP="00337BB1">
      <w:pPr>
        <w:pStyle w:val="Heading1"/>
      </w:pPr>
      <w:bookmarkStart w:id="10" w:name="_Toc374595981"/>
      <w:r>
        <w:t>Emerging practice</w:t>
      </w:r>
      <w:bookmarkEnd w:id="10"/>
    </w:p>
    <w:p w:rsidR="002020D6" w:rsidRDefault="004C2D44" w:rsidP="00812C10">
      <w:r>
        <w:t xml:space="preserve">The workshop </w:t>
      </w:r>
      <w:r w:rsidR="002020D6">
        <w:t>looked at four areas of specific interest: non-print materials, management of the CALD collection, selection and evaluation of materials, and non-metropolitan libraries. These were chosen</w:t>
      </w:r>
      <w:r w:rsidR="00801E45">
        <w:t xml:space="preserve"> because there has been, and will continue to be, considerable</w:t>
      </w:r>
      <w:r w:rsidR="002020D6">
        <w:t xml:space="preserve"> change as a result of the introduction of 1LMS, the population changes evident in the last Census, and the growth of online materials and e-books.</w:t>
      </w:r>
    </w:p>
    <w:p w:rsidR="00910F1C" w:rsidRDefault="00910F1C" w:rsidP="00910F1C">
      <w:pPr>
        <w:pStyle w:val="Heading2"/>
      </w:pPr>
      <w:bookmarkStart w:id="11" w:name="_Toc374595982"/>
      <w:r>
        <w:t>Non print materials</w:t>
      </w:r>
      <w:bookmarkEnd w:id="11"/>
    </w:p>
    <w:p w:rsidR="000518DE" w:rsidRPr="000518DE" w:rsidRDefault="000518DE" w:rsidP="000518DE">
      <w:pPr>
        <w:rPr>
          <w:i/>
        </w:rPr>
      </w:pPr>
      <w:r w:rsidRPr="000518DE">
        <w:rPr>
          <w:i/>
        </w:rPr>
        <w:t xml:space="preserve">Our objectives are to increase uptake and content of non-print materials, to promote widely and increase staff </w:t>
      </w:r>
      <w:r w:rsidR="007C10B5">
        <w:rPr>
          <w:i/>
        </w:rPr>
        <w:t>awareness</w:t>
      </w:r>
      <w:r w:rsidRPr="000518DE">
        <w:rPr>
          <w:i/>
        </w:rPr>
        <w:t xml:space="preserve"> and training</w:t>
      </w:r>
      <w:r>
        <w:rPr>
          <w:i/>
        </w:rPr>
        <w:t>.</w:t>
      </w:r>
    </w:p>
    <w:p w:rsidR="00910F1C" w:rsidRDefault="00910F1C" w:rsidP="00910F1C">
      <w:pPr>
        <w:pStyle w:val="ListParagraph"/>
        <w:numPr>
          <w:ilvl w:val="0"/>
          <w:numId w:val="17"/>
        </w:numPr>
      </w:pPr>
      <w:r>
        <w:t xml:space="preserve">A greater proportion of the </w:t>
      </w:r>
      <w:r w:rsidR="00156D24">
        <w:t xml:space="preserve">Community Language </w:t>
      </w:r>
      <w:r>
        <w:t xml:space="preserve">budget </w:t>
      </w:r>
      <w:r w:rsidR="00156D24">
        <w:t xml:space="preserve">could </w:t>
      </w:r>
      <w:r>
        <w:t xml:space="preserve">be </w:t>
      </w:r>
      <w:r w:rsidR="00156D24">
        <w:t>left unalloc</w:t>
      </w:r>
      <w:r w:rsidR="006349FB">
        <w:t xml:space="preserve">ated to any specific language, </w:t>
      </w:r>
      <w:r>
        <w:t>to allow</w:t>
      </w:r>
      <w:r w:rsidR="00156D24">
        <w:t xml:space="preserve"> for responsive sourcing and supply in multiple languages.</w:t>
      </w:r>
    </w:p>
    <w:p w:rsidR="00910F1C" w:rsidRDefault="00910F1C" w:rsidP="00910F1C">
      <w:pPr>
        <w:pStyle w:val="ListParagraph"/>
        <w:numPr>
          <w:ilvl w:val="0"/>
          <w:numId w:val="17"/>
        </w:numPr>
      </w:pPr>
      <w:r>
        <w:t>Although there is still demand for DVDs and music CDs, this is expected to reduce as downloading becomes more prevalent</w:t>
      </w:r>
    </w:p>
    <w:p w:rsidR="00910F1C" w:rsidRDefault="00910F1C" w:rsidP="00910F1C">
      <w:pPr>
        <w:pStyle w:val="ListParagraph"/>
        <w:numPr>
          <w:ilvl w:val="0"/>
          <w:numId w:val="17"/>
        </w:numPr>
      </w:pPr>
      <w:r>
        <w:t>Need to look at CALD e-books, and make sure we promote them in their own language</w:t>
      </w:r>
      <w:r w:rsidR="00CB058F">
        <w:t xml:space="preserve"> and i</w:t>
      </w:r>
      <w:r>
        <w:t>nvestigate free e-books in other languages (e.g. Gutenberg Project for MyLanguage)</w:t>
      </w:r>
    </w:p>
    <w:p w:rsidR="00910F1C" w:rsidRDefault="00910F1C" w:rsidP="00910F1C">
      <w:pPr>
        <w:pStyle w:val="ListParagraph"/>
        <w:numPr>
          <w:ilvl w:val="0"/>
          <w:numId w:val="17"/>
        </w:numPr>
      </w:pPr>
      <w:r>
        <w:t>Use focus groups to find out what the CALD community want in terms of e-books, audio books, Press Display, World Book and the International English Language Testing System (IELTS)</w:t>
      </w:r>
    </w:p>
    <w:p w:rsidR="00801E45" w:rsidRDefault="00E347FB" w:rsidP="00E347FB">
      <w:pPr>
        <w:pStyle w:val="Heading2"/>
      </w:pPr>
      <w:bookmarkStart w:id="12" w:name="_Toc374595983"/>
      <w:r>
        <w:t>Management of the CALD collection</w:t>
      </w:r>
      <w:bookmarkEnd w:id="12"/>
    </w:p>
    <w:p w:rsidR="00E347FB" w:rsidRDefault="00E347FB" w:rsidP="00E347FB">
      <w:pPr>
        <w:rPr>
          <w:i/>
        </w:rPr>
      </w:pPr>
      <w:r>
        <w:rPr>
          <w:i/>
        </w:rPr>
        <w:t xml:space="preserve">Use the 1LMS </w:t>
      </w:r>
      <w:r w:rsidR="00277EB5">
        <w:rPr>
          <w:i/>
        </w:rPr>
        <w:t>for best practice in delivering stock to appropriate libraries.</w:t>
      </w:r>
    </w:p>
    <w:p w:rsidR="00E347FB" w:rsidRDefault="00E347FB" w:rsidP="00E347FB">
      <w:pPr>
        <w:pStyle w:val="ListParagraph"/>
        <w:numPr>
          <w:ilvl w:val="0"/>
          <w:numId w:val="17"/>
        </w:numPr>
      </w:pPr>
      <w:r>
        <w:t xml:space="preserve">Monitor </w:t>
      </w:r>
      <w:r w:rsidR="00156D24">
        <w:t>customer usage</w:t>
      </w:r>
      <w:r>
        <w:t xml:space="preserve"> and use the data to make decisions regarding location of collections</w:t>
      </w:r>
    </w:p>
    <w:p w:rsidR="00E347FB" w:rsidRDefault="00E347FB" w:rsidP="00E347FB">
      <w:pPr>
        <w:pStyle w:val="ListParagraph"/>
        <w:numPr>
          <w:ilvl w:val="0"/>
          <w:numId w:val="17"/>
        </w:numPr>
      </w:pPr>
      <w:r>
        <w:t>Promote the CALD collections so that people understand what's available even if they can't see it in their own libraries</w:t>
      </w:r>
    </w:p>
    <w:p w:rsidR="00E347FB" w:rsidRDefault="00E6159C" w:rsidP="00E347FB">
      <w:pPr>
        <w:pStyle w:val="ListParagraph"/>
        <w:numPr>
          <w:ilvl w:val="0"/>
          <w:numId w:val="17"/>
        </w:numPr>
      </w:pPr>
      <w:r>
        <w:t>Communicate between libraries to rotate stock to where it is required, or to vary the collections</w:t>
      </w:r>
    </w:p>
    <w:p w:rsidR="00FE33B3" w:rsidRDefault="00FE33B3" w:rsidP="00FE33B3">
      <w:pPr>
        <w:pStyle w:val="Heading2"/>
      </w:pPr>
      <w:bookmarkStart w:id="13" w:name="_Toc374595984"/>
      <w:r>
        <w:t>Selection and evaluation of materials</w:t>
      </w:r>
      <w:bookmarkEnd w:id="13"/>
    </w:p>
    <w:p w:rsidR="00147454" w:rsidRPr="00A50664" w:rsidRDefault="00FE33B3" w:rsidP="00147454">
      <w:pPr>
        <w:rPr>
          <w:i/>
        </w:rPr>
      </w:pPr>
      <w:r w:rsidRPr="00A50664">
        <w:rPr>
          <w:i/>
        </w:rPr>
        <w:t xml:space="preserve">Involve selectors from the community </w:t>
      </w:r>
      <w:r w:rsidR="00C36A85">
        <w:rPr>
          <w:i/>
        </w:rPr>
        <w:t>so that collections meet their aspirations. E</w:t>
      </w:r>
      <w:r w:rsidR="00147454" w:rsidRPr="00A50664">
        <w:rPr>
          <w:i/>
        </w:rPr>
        <w:t>valuate suppliers on cost and quality and use suppliers that are consistently delivering well-accessed materials</w:t>
      </w:r>
      <w:r w:rsidR="00176BDF">
        <w:rPr>
          <w:i/>
        </w:rPr>
        <w:t>.</w:t>
      </w:r>
    </w:p>
    <w:p w:rsidR="00147454" w:rsidRDefault="00147454" w:rsidP="00147454">
      <w:pPr>
        <w:pStyle w:val="ListParagraph"/>
        <w:numPr>
          <w:ilvl w:val="0"/>
          <w:numId w:val="18"/>
        </w:numPr>
      </w:pPr>
      <w:r>
        <w:t>Materials must be relevant to the needs of the community</w:t>
      </w:r>
    </w:p>
    <w:p w:rsidR="00147454" w:rsidRDefault="00147454" w:rsidP="00147454">
      <w:pPr>
        <w:pStyle w:val="ListParagraph"/>
        <w:numPr>
          <w:ilvl w:val="0"/>
          <w:numId w:val="18"/>
        </w:numPr>
      </w:pPr>
      <w:r>
        <w:t>Be proactive in seeking community input: focus groups, surveys, feedback on quality</w:t>
      </w:r>
    </w:p>
    <w:p w:rsidR="00147454" w:rsidRDefault="00147454" w:rsidP="00147454">
      <w:pPr>
        <w:pStyle w:val="ListParagraph"/>
        <w:numPr>
          <w:ilvl w:val="0"/>
          <w:numId w:val="18"/>
        </w:numPr>
      </w:pPr>
      <w:r>
        <w:t>Check borrowing data to see whether multiple copies are needed</w:t>
      </w:r>
    </w:p>
    <w:p w:rsidR="00147454" w:rsidRDefault="00147454" w:rsidP="00147454">
      <w:pPr>
        <w:pStyle w:val="ListParagraph"/>
        <w:numPr>
          <w:ilvl w:val="0"/>
          <w:numId w:val="18"/>
        </w:numPr>
      </w:pPr>
      <w:r>
        <w:t>It's important to include recently-published materials</w:t>
      </w:r>
    </w:p>
    <w:p w:rsidR="00FE33B3" w:rsidRPr="00147454" w:rsidRDefault="00147454" w:rsidP="00147454">
      <w:pPr>
        <w:pStyle w:val="ListParagraph"/>
        <w:numPr>
          <w:ilvl w:val="0"/>
          <w:numId w:val="18"/>
        </w:numPr>
      </w:pPr>
      <w:r>
        <w:t>P</w:t>
      </w:r>
      <w:r w:rsidR="00FE33B3" w:rsidRPr="00147454">
        <w:t>rovide intelligence to suppliers to ensure good quality, relevant materials are made available</w:t>
      </w:r>
    </w:p>
    <w:p w:rsidR="00A02706" w:rsidRDefault="00147454" w:rsidP="00FE33B3">
      <w:pPr>
        <w:pStyle w:val="ListParagraph"/>
        <w:numPr>
          <w:ilvl w:val="0"/>
          <w:numId w:val="18"/>
        </w:numPr>
      </w:pPr>
      <w:r>
        <w:t>Pool information about suppliers to inform library-initiated purchases</w:t>
      </w:r>
    </w:p>
    <w:p w:rsidR="00C36A85" w:rsidRDefault="00C36A85" w:rsidP="00FE33B3">
      <w:pPr>
        <w:pStyle w:val="ListParagraph"/>
        <w:numPr>
          <w:ilvl w:val="0"/>
          <w:numId w:val="18"/>
        </w:numPr>
      </w:pPr>
      <w:r>
        <w:t xml:space="preserve">How much of the 'tail' (languages with low population) do we serve? How is the decision made? What about new arrivals who are often refugees? We need current, accurate statistics. </w:t>
      </w:r>
    </w:p>
    <w:p w:rsidR="001A5E02" w:rsidRPr="00FE33B3" w:rsidRDefault="001A5E02" w:rsidP="00FE33B3">
      <w:pPr>
        <w:pStyle w:val="ListParagraph"/>
        <w:numPr>
          <w:ilvl w:val="0"/>
          <w:numId w:val="18"/>
        </w:numPr>
      </w:pPr>
      <w:r>
        <w:t>How do we prioritise, there are not enough resources to achieve everything.</w:t>
      </w:r>
    </w:p>
    <w:p w:rsidR="004C2D44" w:rsidRDefault="00A50664" w:rsidP="00A50664">
      <w:pPr>
        <w:pStyle w:val="Heading2"/>
      </w:pPr>
      <w:bookmarkStart w:id="14" w:name="_Toc374595985"/>
      <w:r>
        <w:t>Non-metropolitan libraries</w:t>
      </w:r>
      <w:bookmarkEnd w:id="14"/>
    </w:p>
    <w:p w:rsidR="004C2D44" w:rsidRPr="00335130" w:rsidRDefault="00335130" w:rsidP="00812C10">
      <w:pPr>
        <w:rPr>
          <w:i/>
        </w:rPr>
      </w:pPr>
      <w:r w:rsidRPr="00335130">
        <w:rPr>
          <w:i/>
        </w:rPr>
        <w:t xml:space="preserve">1LMS will liberate the CALD collections and make them available to rural libraries. This will bring a new set of information, processes, and knowledge. Non metropolitan libraries require access to knowledge about new migrant communities, CALD </w:t>
      </w:r>
      <w:r w:rsidR="009A6418">
        <w:rPr>
          <w:i/>
        </w:rPr>
        <w:t>diversity requirements</w:t>
      </w:r>
      <w:r w:rsidRPr="00335130">
        <w:rPr>
          <w:i/>
        </w:rPr>
        <w:t>, and how the Community Languages collection works</w:t>
      </w:r>
      <w:r w:rsidR="00176BDF">
        <w:rPr>
          <w:i/>
        </w:rPr>
        <w:t>.</w:t>
      </w:r>
      <w:r w:rsidR="000C7A3F">
        <w:rPr>
          <w:i/>
        </w:rPr>
        <w:t xml:space="preserve"> We want to achieve a general understanding of what there is, and how it works (collections, programs, cultural practices, access to information).</w:t>
      </w:r>
    </w:p>
    <w:p w:rsidR="00701C0D" w:rsidRDefault="00701C0D" w:rsidP="00701C0D">
      <w:pPr>
        <w:pStyle w:val="ListParagraph"/>
        <w:numPr>
          <w:ilvl w:val="0"/>
          <w:numId w:val="19"/>
        </w:numPr>
      </w:pPr>
      <w:r>
        <w:t>Collaboration will be necessary, sharing information and resources to assist libraries with low numbers of staff to cover all the issues and procedures</w:t>
      </w:r>
    </w:p>
    <w:p w:rsidR="00701C0D" w:rsidRDefault="00701C0D" w:rsidP="00701C0D">
      <w:pPr>
        <w:pStyle w:val="ListParagraph"/>
        <w:numPr>
          <w:ilvl w:val="0"/>
          <w:numId w:val="19"/>
        </w:numPr>
      </w:pPr>
      <w:r>
        <w:t>Provide small libraries with contact details of CALD specialists within larger libraries - where to go to get the information they need</w:t>
      </w:r>
    </w:p>
    <w:p w:rsidR="00701C0D" w:rsidRDefault="000C7A3F" w:rsidP="00701C0D">
      <w:pPr>
        <w:pStyle w:val="ListParagraph"/>
        <w:numPr>
          <w:ilvl w:val="0"/>
          <w:numId w:val="19"/>
        </w:numPr>
      </w:pPr>
      <w:r>
        <w:t>Remove guess-work, provide accurate information.</w:t>
      </w:r>
    </w:p>
    <w:p w:rsidR="00812C10" w:rsidRDefault="00812C10" w:rsidP="00812C10"/>
    <w:p w:rsidR="00DD3BFE" w:rsidRDefault="00DD3BFE" w:rsidP="00812C10"/>
    <w:p w:rsidR="00DD3BFE" w:rsidRDefault="00DD3BFE" w:rsidP="00812C10"/>
    <w:p w:rsidR="00DD3BFE" w:rsidRDefault="00DD3BFE" w:rsidP="00812C10"/>
    <w:p w:rsidR="008A68FA" w:rsidRDefault="008A68FA">
      <w:pPr>
        <w:spacing w:before="0" w:after="0" w:line="240" w:lineRule="auto"/>
        <w:rPr>
          <w:rFonts w:asciiTheme="majorHAnsi" w:eastAsiaTheme="majorEastAsia" w:hAnsiTheme="majorHAnsi" w:cstheme="majorBidi"/>
          <w:iCs/>
          <w:color w:val="244061" w:themeColor="accent1" w:themeShade="80"/>
          <w:kern w:val="32"/>
          <w:sz w:val="32"/>
          <w:szCs w:val="32"/>
        </w:rPr>
      </w:pPr>
    </w:p>
    <w:p w:rsidR="009B5CEB" w:rsidRDefault="009B5CEB">
      <w:pPr>
        <w:spacing w:before="0" w:after="0" w:line="240" w:lineRule="auto"/>
      </w:pPr>
      <w:r>
        <w:br w:type="page"/>
      </w:r>
    </w:p>
    <w:p w:rsidR="00567282" w:rsidRDefault="00034204" w:rsidP="00034204">
      <w:pPr>
        <w:pStyle w:val="Heading1"/>
      </w:pPr>
      <w:bookmarkStart w:id="15" w:name="_Toc374595986"/>
      <w:r>
        <w:t>The Strategy</w:t>
      </w:r>
      <w:bookmarkEnd w:id="15"/>
    </w:p>
    <w:p w:rsidR="00034204" w:rsidRDefault="00034204" w:rsidP="00567282">
      <w:r>
        <w:t>The goal of the new Community Languages Strategy is to provide a more responsive, accessible service to migrant communities.</w:t>
      </w:r>
    </w:p>
    <w:p w:rsidR="00034204" w:rsidRDefault="00034204" w:rsidP="00567282">
      <w:r>
        <w:t xml:space="preserve">To achieve this goal, </w:t>
      </w:r>
      <w:r w:rsidR="00577EA9">
        <w:t>five</w:t>
      </w:r>
      <w:r>
        <w:t xml:space="preserve"> strategic directions were developed:</w:t>
      </w:r>
    </w:p>
    <w:p w:rsidR="00034204" w:rsidRDefault="00034204" w:rsidP="00034204">
      <w:pPr>
        <w:pStyle w:val="ListParagraph"/>
        <w:numPr>
          <w:ilvl w:val="0"/>
          <w:numId w:val="20"/>
        </w:numPr>
      </w:pPr>
      <w:r>
        <w:t>Understanding cultures</w:t>
      </w:r>
    </w:p>
    <w:p w:rsidR="00034204" w:rsidRDefault="00034204" w:rsidP="00034204">
      <w:pPr>
        <w:pStyle w:val="ListParagraph"/>
        <w:numPr>
          <w:ilvl w:val="0"/>
          <w:numId w:val="20"/>
        </w:numPr>
      </w:pPr>
      <w:r>
        <w:t>Better data, better responsiveness</w:t>
      </w:r>
    </w:p>
    <w:p w:rsidR="00034204" w:rsidRDefault="00034204" w:rsidP="00034204">
      <w:pPr>
        <w:pStyle w:val="ListParagraph"/>
        <w:numPr>
          <w:ilvl w:val="0"/>
          <w:numId w:val="20"/>
        </w:numPr>
      </w:pPr>
      <w:r>
        <w:t>Easier access and entry points</w:t>
      </w:r>
    </w:p>
    <w:p w:rsidR="00034204" w:rsidRDefault="00034204" w:rsidP="00034204">
      <w:pPr>
        <w:pStyle w:val="ListParagraph"/>
        <w:numPr>
          <w:ilvl w:val="0"/>
          <w:numId w:val="20"/>
        </w:numPr>
      </w:pPr>
      <w:r>
        <w:t>Sharing information and resources</w:t>
      </w:r>
    </w:p>
    <w:p w:rsidR="00034204" w:rsidRDefault="00034204" w:rsidP="00034204">
      <w:pPr>
        <w:pStyle w:val="ListParagraph"/>
        <w:numPr>
          <w:ilvl w:val="0"/>
          <w:numId w:val="20"/>
        </w:numPr>
      </w:pPr>
      <w:r>
        <w:t>Governance and measurement</w:t>
      </w:r>
    </w:p>
    <w:p w:rsidR="00034204" w:rsidRDefault="00034204" w:rsidP="00034204">
      <w:pPr>
        <w:pStyle w:val="Heading2"/>
      </w:pPr>
      <w:bookmarkStart w:id="16" w:name="_Toc374595987"/>
      <w:r>
        <w:t>Strategic direction 1: Understanding cultures</w:t>
      </w:r>
      <w:bookmarkEnd w:id="16"/>
    </w:p>
    <w:p w:rsidR="00034204" w:rsidRDefault="00034204" w:rsidP="00567282">
      <w:r>
        <w:t>South Australians are accustomed to wo</w:t>
      </w:r>
      <w:r w:rsidR="000E1A9A">
        <w:t xml:space="preserve">rking with people from </w:t>
      </w:r>
      <w:r>
        <w:t xml:space="preserve">non-English speaking migration groups. In recent times, </w:t>
      </w:r>
      <w:r w:rsidR="000E1A9A">
        <w:t xml:space="preserve">changing </w:t>
      </w:r>
      <w:r>
        <w:t>migrat</w:t>
      </w:r>
      <w:r w:rsidR="000E1A9A">
        <w:t>ion patterns</w:t>
      </w:r>
      <w:r>
        <w:t xml:space="preserve"> </w:t>
      </w:r>
      <w:r w:rsidR="000E1A9A">
        <w:t xml:space="preserve">are leading to an influx of new cultures and languages </w:t>
      </w:r>
      <w:r w:rsidR="00913FA9">
        <w:t xml:space="preserve">with </w:t>
      </w:r>
      <w:r w:rsidR="0086019D">
        <w:t xml:space="preserve">some </w:t>
      </w:r>
      <w:r w:rsidR="00913FA9">
        <w:t xml:space="preserve">people </w:t>
      </w:r>
      <w:r w:rsidR="0086019D">
        <w:t xml:space="preserve">coming </w:t>
      </w:r>
      <w:r>
        <w:t>from countries</w:t>
      </w:r>
      <w:r w:rsidR="0086019D">
        <w:t xml:space="preserve"> </w:t>
      </w:r>
      <w:r w:rsidR="00CB4A90">
        <w:t>where many people have limited or</w:t>
      </w:r>
      <w:r w:rsidR="000E1A9A">
        <w:t xml:space="preserve"> </w:t>
      </w:r>
      <w:r w:rsidR="00995307">
        <w:t>no previous experience of public libraries.</w:t>
      </w:r>
    </w:p>
    <w:p w:rsidR="0096735B" w:rsidRDefault="0096735B" w:rsidP="00567282"/>
    <w:tbl>
      <w:tblPr>
        <w:tblStyle w:val="TableGrid"/>
        <w:tblW w:w="0" w:type="auto"/>
        <w:tblBorders>
          <w:top w:val="none" w:sz="0" w:space="0" w:color="auto"/>
          <w:left w:val="none" w:sz="0" w:space="0" w:color="auto"/>
          <w:bottom w:val="none" w:sz="0" w:space="0" w:color="auto"/>
          <w:right w:val="none" w:sz="0" w:space="0" w:color="auto"/>
          <w:insideH w:val="single" w:sz="4" w:space="0" w:color="718597"/>
          <w:insideV w:val="single" w:sz="4" w:space="0" w:color="718597"/>
        </w:tblBorders>
        <w:tblLook w:val="04A0" w:firstRow="1" w:lastRow="0" w:firstColumn="1" w:lastColumn="0" w:noHBand="0" w:noVBand="1"/>
      </w:tblPr>
      <w:tblGrid>
        <w:gridCol w:w="3080"/>
        <w:gridCol w:w="3081"/>
        <w:gridCol w:w="3081"/>
      </w:tblGrid>
      <w:tr w:rsidR="00E25935" w:rsidRPr="00BF5C4F" w:rsidTr="00E25935">
        <w:tc>
          <w:tcPr>
            <w:tcW w:w="3080" w:type="dxa"/>
          </w:tcPr>
          <w:p w:rsidR="00E25935" w:rsidRPr="00BF5C4F" w:rsidRDefault="00E25935" w:rsidP="00567282">
            <w:pPr>
              <w:rPr>
                <w:b/>
                <w:color w:val="808080" w:themeColor="background1" w:themeShade="80"/>
                <w:sz w:val="20"/>
              </w:rPr>
            </w:pPr>
            <w:r w:rsidRPr="00BF5C4F">
              <w:rPr>
                <w:b/>
                <w:color w:val="808080" w:themeColor="background1" w:themeShade="80"/>
                <w:sz w:val="20"/>
              </w:rPr>
              <w:t>Actions</w:t>
            </w:r>
          </w:p>
        </w:tc>
        <w:tc>
          <w:tcPr>
            <w:tcW w:w="3081" w:type="dxa"/>
          </w:tcPr>
          <w:p w:rsidR="00E25935" w:rsidRPr="00BF5C4F" w:rsidRDefault="00E25935" w:rsidP="00567282">
            <w:pPr>
              <w:rPr>
                <w:b/>
                <w:color w:val="808080" w:themeColor="background1" w:themeShade="80"/>
                <w:sz w:val="20"/>
              </w:rPr>
            </w:pPr>
            <w:r w:rsidRPr="00BF5C4F">
              <w:rPr>
                <w:b/>
                <w:color w:val="808080" w:themeColor="background1" w:themeShade="80"/>
                <w:sz w:val="20"/>
              </w:rPr>
              <w:t>Responsibility</w:t>
            </w:r>
          </w:p>
        </w:tc>
        <w:tc>
          <w:tcPr>
            <w:tcW w:w="3081" w:type="dxa"/>
          </w:tcPr>
          <w:p w:rsidR="00E25935" w:rsidRPr="00BF5C4F" w:rsidRDefault="00E25935" w:rsidP="00567282">
            <w:pPr>
              <w:rPr>
                <w:b/>
                <w:color w:val="808080" w:themeColor="background1" w:themeShade="80"/>
                <w:sz w:val="20"/>
              </w:rPr>
            </w:pPr>
            <w:r w:rsidRPr="00BF5C4F">
              <w:rPr>
                <w:b/>
                <w:color w:val="808080" w:themeColor="background1" w:themeShade="80"/>
                <w:sz w:val="20"/>
              </w:rPr>
              <w:t>Measurement</w:t>
            </w:r>
          </w:p>
        </w:tc>
      </w:tr>
      <w:tr w:rsidR="00E25935" w:rsidRPr="002E0DC5" w:rsidTr="00E25935">
        <w:tc>
          <w:tcPr>
            <w:tcW w:w="3080" w:type="dxa"/>
          </w:tcPr>
          <w:p w:rsidR="00E25935" w:rsidRPr="002E0DC5" w:rsidRDefault="00BF5C4F" w:rsidP="00BF5C4F">
            <w:pPr>
              <w:pStyle w:val="ListParagraph"/>
              <w:numPr>
                <w:ilvl w:val="0"/>
                <w:numId w:val="21"/>
              </w:numPr>
              <w:spacing w:before="60" w:after="60" w:line="240" w:lineRule="atLeast"/>
              <w:contextualSpacing w:val="0"/>
              <w:rPr>
                <w:color w:val="404040" w:themeColor="text1" w:themeTint="BF"/>
                <w:sz w:val="18"/>
              </w:rPr>
            </w:pPr>
            <w:r w:rsidRPr="002E0DC5">
              <w:rPr>
                <w:color w:val="404040" w:themeColor="text1" w:themeTint="BF"/>
                <w:sz w:val="18"/>
              </w:rPr>
              <w:t xml:space="preserve">Staff </w:t>
            </w:r>
            <w:r w:rsidR="006E0DE5">
              <w:rPr>
                <w:color w:val="404040" w:themeColor="text1" w:themeTint="BF"/>
                <w:sz w:val="18"/>
              </w:rPr>
              <w:t xml:space="preserve">cultural  awareness </w:t>
            </w:r>
            <w:r w:rsidRPr="002E0DC5">
              <w:rPr>
                <w:color w:val="404040" w:themeColor="text1" w:themeTint="BF"/>
                <w:sz w:val="18"/>
              </w:rPr>
              <w:t>training</w:t>
            </w:r>
          </w:p>
        </w:tc>
        <w:tc>
          <w:tcPr>
            <w:tcW w:w="3081" w:type="dxa"/>
          </w:tcPr>
          <w:p w:rsidR="00E25935" w:rsidRDefault="00BF5C4F" w:rsidP="00BF5C4F">
            <w:pPr>
              <w:spacing w:before="60" w:after="60" w:line="240" w:lineRule="atLeast"/>
              <w:rPr>
                <w:color w:val="404040" w:themeColor="text1" w:themeTint="BF"/>
                <w:sz w:val="18"/>
              </w:rPr>
            </w:pPr>
            <w:r w:rsidRPr="002E0DC5">
              <w:rPr>
                <w:color w:val="404040" w:themeColor="text1" w:themeTint="BF"/>
                <w:sz w:val="18"/>
              </w:rPr>
              <w:t>Councils (in line with other staff training for cultural awareness)</w:t>
            </w:r>
            <w:r w:rsidR="006E0DE5">
              <w:rPr>
                <w:color w:val="404040" w:themeColor="text1" w:themeTint="BF"/>
                <w:sz w:val="18"/>
              </w:rPr>
              <w:t xml:space="preserve"> </w:t>
            </w:r>
          </w:p>
          <w:p w:rsidR="006E0DE5" w:rsidRPr="002E0DC5" w:rsidRDefault="006E0DE5" w:rsidP="00B32090">
            <w:pPr>
              <w:spacing w:before="60" w:after="60" w:line="240" w:lineRule="atLeast"/>
              <w:rPr>
                <w:color w:val="404040" w:themeColor="text1" w:themeTint="BF"/>
                <w:sz w:val="18"/>
              </w:rPr>
            </w:pPr>
            <w:r>
              <w:rPr>
                <w:color w:val="404040" w:themeColor="text1" w:themeTint="BF"/>
                <w:sz w:val="18"/>
              </w:rPr>
              <w:t xml:space="preserve">Lead: Library </w:t>
            </w:r>
            <w:r w:rsidR="00596454">
              <w:rPr>
                <w:color w:val="404040" w:themeColor="text1" w:themeTint="BF"/>
                <w:sz w:val="18"/>
              </w:rPr>
              <w:t>M</w:t>
            </w:r>
            <w:r>
              <w:rPr>
                <w:color w:val="404040" w:themeColor="text1" w:themeTint="BF"/>
                <w:sz w:val="18"/>
              </w:rPr>
              <w:t>anagers</w:t>
            </w:r>
            <w:r w:rsidR="00693A5C">
              <w:rPr>
                <w:color w:val="404040" w:themeColor="text1" w:themeTint="BF"/>
                <w:sz w:val="18"/>
              </w:rPr>
              <w:t xml:space="preserve"> </w:t>
            </w:r>
            <w:r w:rsidR="00596454">
              <w:rPr>
                <w:color w:val="404040" w:themeColor="text1" w:themeTint="BF"/>
                <w:sz w:val="18"/>
              </w:rPr>
              <w:t xml:space="preserve">supported by </w:t>
            </w:r>
            <w:r w:rsidR="00693A5C">
              <w:rPr>
                <w:color w:val="404040" w:themeColor="text1" w:themeTint="BF"/>
                <w:sz w:val="18"/>
              </w:rPr>
              <w:t>P</w:t>
            </w:r>
            <w:r w:rsidR="00B32090">
              <w:rPr>
                <w:color w:val="404040" w:themeColor="text1" w:themeTint="BF"/>
                <w:sz w:val="18"/>
              </w:rPr>
              <w:t>ublic Library Services</w:t>
            </w:r>
          </w:p>
        </w:tc>
        <w:tc>
          <w:tcPr>
            <w:tcW w:w="3081" w:type="dxa"/>
          </w:tcPr>
          <w:p w:rsidR="00E25935" w:rsidRPr="002E0DC5" w:rsidRDefault="006E0DE5" w:rsidP="00BF5C4F">
            <w:pPr>
              <w:spacing w:before="60" w:after="60" w:line="240" w:lineRule="atLeast"/>
              <w:rPr>
                <w:color w:val="404040" w:themeColor="text1" w:themeTint="BF"/>
                <w:sz w:val="18"/>
              </w:rPr>
            </w:pPr>
            <w:r>
              <w:rPr>
                <w:color w:val="404040" w:themeColor="text1" w:themeTint="BF"/>
                <w:sz w:val="18"/>
              </w:rPr>
              <w:t xml:space="preserve">The number of </w:t>
            </w:r>
            <w:r w:rsidR="00BF5C4F" w:rsidRPr="002E0DC5">
              <w:rPr>
                <w:color w:val="404040" w:themeColor="text1" w:themeTint="BF"/>
                <w:sz w:val="18"/>
              </w:rPr>
              <w:t xml:space="preserve"> staff </w:t>
            </w:r>
            <w:r>
              <w:rPr>
                <w:color w:val="404040" w:themeColor="text1" w:themeTint="BF"/>
                <w:sz w:val="18"/>
              </w:rPr>
              <w:t xml:space="preserve"> who </w:t>
            </w:r>
            <w:r w:rsidR="00BF5C4F" w:rsidRPr="002E0DC5">
              <w:rPr>
                <w:color w:val="404040" w:themeColor="text1" w:themeTint="BF"/>
                <w:sz w:val="18"/>
              </w:rPr>
              <w:t>have been involved in cultural awareness training</w:t>
            </w:r>
          </w:p>
        </w:tc>
      </w:tr>
      <w:tr w:rsidR="00BF5C4F" w:rsidRPr="002E0DC5" w:rsidTr="00E25935">
        <w:tc>
          <w:tcPr>
            <w:tcW w:w="3080" w:type="dxa"/>
          </w:tcPr>
          <w:p w:rsidR="00BF5C4F" w:rsidRPr="002E0DC5" w:rsidRDefault="002E0DC5" w:rsidP="000A5D4D">
            <w:pPr>
              <w:pStyle w:val="ListParagraph"/>
              <w:numPr>
                <w:ilvl w:val="0"/>
                <w:numId w:val="21"/>
              </w:numPr>
              <w:spacing w:before="60" w:after="60" w:line="240" w:lineRule="atLeast"/>
              <w:contextualSpacing w:val="0"/>
              <w:rPr>
                <w:color w:val="404040" w:themeColor="text1" w:themeTint="BF"/>
                <w:sz w:val="18"/>
              </w:rPr>
            </w:pPr>
            <w:r>
              <w:rPr>
                <w:color w:val="404040" w:themeColor="text1" w:themeTint="BF"/>
                <w:sz w:val="18"/>
              </w:rPr>
              <w:t xml:space="preserve">Partnerships with </w:t>
            </w:r>
            <w:r w:rsidR="00CB4A90">
              <w:rPr>
                <w:color w:val="404040" w:themeColor="text1" w:themeTint="BF"/>
                <w:sz w:val="18"/>
              </w:rPr>
              <w:t xml:space="preserve">key state level </w:t>
            </w:r>
            <w:r w:rsidR="000A5D4D">
              <w:rPr>
                <w:color w:val="404040" w:themeColor="text1" w:themeTint="BF"/>
                <w:sz w:val="18"/>
              </w:rPr>
              <w:t>migrant and multicultural groups.</w:t>
            </w:r>
          </w:p>
        </w:tc>
        <w:tc>
          <w:tcPr>
            <w:tcW w:w="3081" w:type="dxa"/>
          </w:tcPr>
          <w:p w:rsidR="00BF5C4F" w:rsidRDefault="00156D24" w:rsidP="00156D24">
            <w:pPr>
              <w:spacing w:before="60" w:after="60" w:line="240" w:lineRule="atLeast"/>
              <w:rPr>
                <w:color w:val="404040" w:themeColor="text1" w:themeTint="BF"/>
                <w:sz w:val="18"/>
              </w:rPr>
            </w:pPr>
            <w:r>
              <w:rPr>
                <w:color w:val="404040" w:themeColor="text1" w:themeTint="BF"/>
                <w:sz w:val="18"/>
              </w:rPr>
              <w:t>A</w:t>
            </w:r>
            <w:r w:rsidR="002E0DC5">
              <w:rPr>
                <w:color w:val="404040" w:themeColor="text1" w:themeTint="BF"/>
                <w:sz w:val="18"/>
              </w:rPr>
              <w:t xml:space="preserve"> working group </w:t>
            </w:r>
            <w:r>
              <w:rPr>
                <w:color w:val="404040" w:themeColor="text1" w:themeTint="BF"/>
                <w:sz w:val="18"/>
              </w:rPr>
              <w:t xml:space="preserve">be established </w:t>
            </w:r>
            <w:r w:rsidR="002E0DC5">
              <w:rPr>
                <w:color w:val="404040" w:themeColor="text1" w:themeTint="BF"/>
                <w:sz w:val="18"/>
              </w:rPr>
              <w:t xml:space="preserve">with key migrant groups to </w:t>
            </w:r>
            <w:r>
              <w:rPr>
                <w:color w:val="404040" w:themeColor="text1" w:themeTint="BF"/>
                <w:sz w:val="18"/>
              </w:rPr>
              <w:t xml:space="preserve">investigate sharing </w:t>
            </w:r>
            <w:r w:rsidR="002E0DC5">
              <w:rPr>
                <w:color w:val="404040" w:themeColor="text1" w:themeTint="BF"/>
                <w:sz w:val="18"/>
              </w:rPr>
              <w:t>information and promot</w:t>
            </w:r>
            <w:r>
              <w:rPr>
                <w:color w:val="404040" w:themeColor="text1" w:themeTint="BF"/>
                <w:sz w:val="18"/>
              </w:rPr>
              <w:t>ing</w:t>
            </w:r>
            <w:r w:rsidR="002E0DC5">
              <w:rPr>
                <w:color w:val="404040" w:themeColor="text1" w:themeTint="BF"/>
                <w:sz w:val="18"/>
              </w:rPr>
              <w:t xml:space="preserve"> library services</w:t>
            </w:r>
          </w:p>
          <w:p w:rsidR="006E0DE5" w:rsidRPr="002E0DC5" w:rsidRDefault="00596454" w:rsidP="000A5D4D">
            <w:pPr>
              <w:spacing w:before="60" w:after="60" w:line="240" w:lineRule="atLeast"/>
              <w:rPr>
                <w:color w:val="404040" w:themeColor="text1" w:themeTint="BF"/>
                <w:sz w:val="18"/>
              </w:rPr>
            </w:pPr>
            <w:r>
              <w:rPr>
                <w:color w:val="404040" w:themeColor="text1" w:themeTint="BF"/>
                <w:sz w:val="18"/>
              </w:rPr>
              <w:t xml:space="preserve">Lead: Community Language Operating Committee supported by </w:t>
            </w:r>
            <w:r w:rsidR="000A5D4D">
              <w:rPr>
                <w:color w:val="404040" w:themeColor="text1" w:themeTint="BF"/>
                <w:sz w:val="18"/>
              </w:rPr>
              <w:t xml:space="preserve">Public  Library Services </w:t>
            </w:r>
          </w:p>
        </w:tc>
        <w:tc>
          <w:tcPr>
            <w:tcW w:w="3081" w:type="dxa"/>
          </w:tcPr>
          <w:p w:rsidR="00BF5C4F" w:rsidRPr="002E0DC5" w:rsidRDefault="002E0DC5" w:rsidP="00BF5C4F">
            <w:pPr>
              <w:spacing w:before="60" w:after="60" w:line="240" w:lineRule="atLeast"/>
              <w:rPr>
                <w:color w:val="404040" w:themeColor="text1" w:themeTint="BF"/>
                <w:sz w:val="18"/>
              </w:rPr>
            </w:pPr>
            <w:r>
              <w:rPr>
                <w:color w:val="404040" w:themeColor="text1" w:themeTint="BF"/>
                <w:sz w:val="18"/>
              </w:rPr>
              <w:t xml:space="preserve">All new migrants receive an up-to-date libraries information pack and an introduction to </w:t>
            </w:r>
            <w:r w:rsidR="00156D24">
              <w:rPr>
                <w:color w:val="404040" w:themeColor="text1" w:themeTint="BF"/>
                <w:sz w:val="18"/>
              </w:rPr>
              <w:t xml:space="preserve">how to use </w:t>
            </w:r>
            <w:r>
              <w:rPr>
                <w:color w:val="404040" w:themeColor="text1" w:themeTint="BF"/>
                <w:sz w:val="18"/>
              </w:rPr>
              <w:t>their local library</w:t>
            </w:r>
            <w:r w:rsidR="00156D24">
              <w:rPr>
                <w:color w:val="404040" w:themeColor="text1" w:themeTint="BF"/>
                <w:sz w:val="18"/>
              </w:rPr>
              <w:t>.</w:t>
            </w:r>
          </w:p>
        </w:tc>
      </w:tr>
      <w:tr w:rsidR="002E0DC5" w:rsidRPr="002E0DC5" w:rsidTr="00E25935">
        <w:tc>
          <w:tcPr>
            <w:tcW w:w="3080" w:type="dxa"/>
          </w:tcPr>
          <w:p w:rsidR="002E0DC5" w:rsidRDefault="002E0DC5" w:rsidP="002E0DC5">
            <w:pPr>
              <w:pStyle w:val="ListParagraph"/>
              <w:numPr>
                <w:ilvl w:val="0"/>
                <w:numId w:val="21"/>
              </w:numPr>
              <w:spacing w:before="60" w:after="60" w:line="240" w:lineRule="atLeast"/>
              <w:contextualSpacing w:val="0"/>
              <w:rPr>
                <w:color w:val="404040" w:themeColor="text1" w:themeTint="BF"/>
                <w:sz w:val="18"/>
              </w:rPr>
            </w:pPr>
            <w:r>
              <w:rPr>
                <w:color w:val="404040" w:themeColor="text1" w:themeTint="BF"/>
                <w:sz w:val="18"/>
              </w:rPr>
              <w:t>Partnerships with local CALD community groups</w:t>
            </w:r>
          </w:p>
        </w:tc>
        <w:tc>
          <w:tcPr>
            <w:tcW w:w="3081" w:type="dxa"/>
          </w:tcPr>
          <w:p w:rsidR="002E0DC5" w:rsidRDefault="002E0DC5" w:rsidP="002E0DC5">
            <w:pPr>
              <w:spacing w:before="60" w:after="60" w:line="240" w:lineRule="atLeast"/>
              <w:rPr>
                <w:color w:val="404040" w:themeColor="text1" w:themeTint="BF"/>
                <w:sz w:val="18"/>
              </w:rPr>
            </w:pPr>
            <w:r>
              <w:rPr>
                <w:color w:val="404040" w:themeColor="text1" w:themeTint="BF"/>
                <w:sz w:val="18"/>
              </w:rPr>
              <w:t xml:space="preserve">Libraries to seek out CALD leaders </w:t>
            </w:r>
            <w:r w:rsidR="000A5D4D">
              <w:rPr>
                <w:color w:val="404040" w:themeColor="text1" w:themeTint="BF"/>
                <w:sz w:val="18"/>
              </w:rPr>
              <w:t xml:space="preserve">and library users </w:t>
            </w:r>
            <w:r>
              <w:rPr>
                <w:color w:val="404040" w:themeColor="text1" w:themeTint="BF"/>
                <w:sz w:val="18"/>
              </w:rPr>
              <w:t>in their communities and engage them in discussion about services, materials and programs</w:t>
            </w:r>
            <w:r w:rsidR="000A5D4D">
              <w:rPr>
                <w:color w:val="404040" w:themeColor="text1" w:themeTint="BF"/>
                <w:sz w:val="18"/>
              </w:rPr>
              <w:t>.</w:t>
            </w:r>
          </w:p>
          <w:p w:rsidR="000A5D4D" w:rsidRDefault="00596454" w:rsidP="002E0DC5">
            <w:pPr>
              <w:spacing w:before="60" w:after="60" w:line="240" w:lineRule="atLeast"/>
              <w:rPr>
                <w:color w:val="404040" w:themeColor="text1" w:themeTint="BF"/>
                <w:sz w:val="18"/>
              </w:rPr>
            </w:pPr>
            <w:r>
              <w:rPr>
                <w:color w:val="404040" w:themeColor="text1" w:themeTint="BF"/>
                <w:sz w:val="18"/>
              </w:rPr>
              <w:t>Lead: Community Language Operating Committee supported by Public  Library Services</w:t>
            </w:r>
          </w:p>
        </w:tc>
        <w:tc>
          <w:tcPr>
            <w:tcW w:w="3081" w:type="dxa"/>
          </w:tcPr>
          <w:p w:rsidR="002E0DC5" w:rsidRDefault="00CB4A90" w:rsidP="00BF5C4F">
            <w:pPr>
              <w:spacing w:before="60" w:after="60" w:line="240" w:lineRule="atLeast"/>
              <w:rPr>
                <w:color w:val="404040" w:themeColor="text1" w:themeTint="BF"/>
                <w:sz w:val="18"/>
              </w:rPr>
            </w:pPr>
            <w:r>
              <w:rPr>
                <w:color w:val="404040" w:themeColor="text1" w:themeTint="BF"/>
                <w:sz w:val="18"/>
              </w:rPr>
              <w:t>Each library has a</w:t>
            </w:r>
            <w:r w:rsidR="002E0DC5">
              <w:rPr>
                <w:color w:val="404040" w:themeColor="text1" w:themeTint="BF"/>
                <w:sz w:val="18"/>
              </w:rPr>
              <w:t xml:space="preserve"> point of contact for the key CALD groups in their community</w:t>
            </w:r>
            <w:r w:rsidR="000A5D4D">
              <w:rPr>
                <w:color w:val="404040" w:themeColor="text1" w:themeTint="BF"/>
                <w:sz w:val="18"/>
              </w:rPr>
              <w:t>.</w:t>
            </w:r>
            <w:r>
              <w:rPr>
                <w:color w:val="404040" w:themeColor="text1" w:themeTint="BF"/>
                <w:sz w:val="18"/>
              </w:rPr>
              <w:t xml:space="preserve"> Connections with the CALD community are reported on and documented at Community Language Operating Committee meetings.</w:t>
            </w:r>
          </w:p>
        </w:tc>
      </w:tr>
      <w:tr w:rsidR="00F74477" w:rsidRPr="003E7CBB" w:rsidTr="00E25935">
        <w:tc>
          <w:tcPr>
            <w:tcW w:w="3080" w:type="dxa"/>
          </w:tcPr>
          <w:p w:rsidR="00F74477" w:rsidRPr="00CB4A90" w:rsidRDefault="00F74477" w:rsidP="00CB4A90">
            <w:pPr>
              <w:pStyle w:val="ListParagraph"/>
              <w:numPr>
                <w:ilvl w:val="0"/>
                <w:numId w:val="21"/>
              </w:numPr>
              <w:spacing w:before="60" w:after="60" w:line="240" w:lineRule="atLeast"/>
              <w:contextualSpacing w:val="0"/>
              <w:rPr>
                <w:color w:val="404040" w:themeColor="text1" w:themeTint="BF"/>
                <w:sz w:val="18"/>
              </w:rPr>
            </w:pPr>
            <w:r w:rsidRPr="00CB4A90">
              <w:rPr>
                <w:color w:val="404040" w:themeColor="text1" w:themeTint="BF"/>
                <w:sz w:val="18"/>
              </w:rPr>
              <w:t>Libraries</w:t>
            </w:r>
            <w:r w:rsidR="00CB4A90">
              <w:rPr>
                <w:color w:val="404040" w:themeColor="text1" w:themeTint="BF"/>
                <w:sz w:val="18"/>
              </w:rPr>
              <w:t xml:space="preserve"> value and </w:t>
            </w:r>
            <w:r w:rsidRPr="00CB4A90">
              <w:rPr>
                <w:color w:val="404040" w:themeColor="text1" w:themeTint="BF"/>
                <w:sz w:val="18"/>
              </w:rPr>
              <w:t xml:space="preserve"> </w:t>
            </w:r>
            <w:r w:rsidR="00CB4A90">
              <w:rPr>
                <w:color w:val="404040" w:themeColor="text1" w:themeTint="BF"/>
                <w:sz w:val="18"/>
              </w:rPr>
              <w:t xml:space="preserve">welcome the contribution that </w:t>
            </w:r>
            <w:r w:rsidRPr="00CB4A90">
              <w:rPr>
                <w:color w:val="404040" w:themeColor="text1" w:themeTint="BF"/>
                <w:sz w:val="18"/>
              </w:rPr>
              <w:t xml:space="preserve"> CALD staff </w:t>
            </w:r>
            <w:r w:rsidR="00CB4A90">
              <w:rPr>
                <w:color w:val="404040" w:themeColor="text1" w:themeTint="BF"/>
                <w:sz w:val="18"/>
              </w:rPr>
              <w:t xml:space="preserve"> and volunteers can offer </w:t>
            </w:r>
          </w:p>
        </w:tc>
        <w:tc>
          <w:tcPr>
            <w:tcW w:w="3081" w:type="dxa"/>
          </w:tcPr>
          <w:p w:rsidR="00F74477" w:rsidRPr="00CB4A90" w:rsidRDefault="00F74477" w:rsidP="00F74477">
            <w:pPr>
              <w:spacing w:before="60" w:after="60" w:line="240" w:lineRule="atLeast"/>
              <w:rPr>
                <w:color w:val="404040" w:themeColor="text1" w:themeTint="BF"/>
                <w:sz w:val="18"/>
              </w:rPr>
            </w:pPr>
            <w:r w:rsidRPr="00CB4A90">
              <w:rPr>
                <w:color w:val="404040" w:themeColor="text1" w:themeTint="BF"/>
                <w:sz w:val="18"/>
              </w:rPr>
              <w:t>The employer (Council, School) to actively promote library vacancies to CALD communities</w:t>
            </w:r>
            <w:r w:rsidR="003E7CBB" w:rsidRPr="00CB4A90">
              <w:rPr>
                <w:color w:val="404040" w:themeColor="text1" w:themeTint="BF"/>
                <w:sz w:val="18"/>
              </w:rPr>
              <w:t>.</w:t>
            </w:r>
          </w:p>
          <w:p w:rsidR="003E7CBB" w:rsidRPr="003E7CBB" w:rsidRDefault="00B32090" w:rsidP="003E7CBB">
            <w:pPr>
              <w:spacing w:before="60" w:after="60" w:line="240" w:lineRule="atLeast"/>
              <w:rPr>
                <w:color w:val="404040" w:themeColor="text1" w:themeTint="BF"/>
                <w:sz w:val="18"/>
                <w:highlight w:val="yellow"/>
              </w:rPr>
            </w:pPr>
            <w:r>
              <w:rPr>
                <w:color w:val="404040" w:themeColor="text1" w:themeTint="BF"/>
                <w:sz w:val="18"/>
              </w:rPr>
              <w:t>Lead: Library Managers supported by Public Library Services</w:t>
            </w:r>
          </w:p>
        </w:tc>
        <w:tc>
          <w:tcPr>
            <w:tcW w:w="3081" w:type="dxa"/>
          </w:tcPr>
          <w:p w:rsidR="00F74477" w:rsidRPr="003E7CBB" w:rsidRDefault="00CB4A90" w:rsidP="00CB4A90">
            <w:pPr>
              <w:spacing w:before="60" w:after="60" w:line="240" w:lineRule="atLeast"/>
              <w:rPr>
                <w:color w:val="404040" w:themeColor="text1" w:themeTint="BF"/>
                <w:sz w:val="18"/>
                <w:highlight w:val="yellow"/>
              </w:rPr>
            </w:pPr>
            <w:r>
              <w:rPr>
                <w:color w:val="404040" w:themeColor="text1" w:themeTint="BF"/>
                <w:sz w:val="18"/>
              </w:rPr>
              <w:t xml:space="preserve">Service delivery to the CALD community is reported on and documented at Community Language Operating Committee meetings, including the contribution of CALD staff and volunteers </w:t>
            </w:r>
          </w:p>
        </w:tc>
      </w:tr>
      <w:tr w:rsidR="00F74477" w:rsidRPr="002E0DC5" w:rsidTr="00E25935">
        <w:tc>
          <w:tcPr>
            <w:tcW w:w="3080" w:type="dxa"/>
          </w:tcPr>
          <w:p w:rsidR="00F74477" w:rsidRDefault="00F74477" w:rsidP="002E0DC5">
            <w:pPr>
              <w:pStyle w:val="ListParagraph"/>
              <w:numPr>
                <w:ilvl w:val="0"/>
                <w:numId w:val="21"/>
              </w:numPr>
              <w:spacing w:before="60" w:after="60" w:line="240" w:lineRule="atLeast"/>
              <w:contextualSpacing w:val="0"/>
              <w:rPr>
                <w:color w:val="404040" w:themeColor="text1" w:themeTint="BF"/>
                <w:sz w:val="18"/>
              </w:rPr>
            </w:pPr>
            <w:r>
              <w:rPr>
                <w:color w:val="404040" w:themeColor="text1" w:themeTint="BF"/>
                <w:sz w:val="18"/>
              </w:rPr>
              <w:t>Key Person Network is established</w:t>
            </w:r>
          </w:p>
        </w:tc>
        <w:tc>
          <w:tcPr>
            <w:tcW w:w="3081" w:type="dxa"/>
          </w:tcPr>
          <w:p w:rsidR="00F74477" w:rsidRDefault="0086553E" w:rsidP="00206DA6">
            <w:pPr>
              <w:spacing w:before="60" w:after="60" w:line="240" w:lineRule="atLeast"/>
              <w:rPr>
                <w:color w:val="404040" w:themeColor="text1" w:themeTint="BF"/>
                <w:sz w:val="18"/>
              </w:rPr>
            </w:pPr>
            <w:r>
              <w:rPr>
                <w:color w:val="404040" w:themeColor="text1" w:themeTint="BF"/>
                <w:sz w:val="18"/>
              </w:rPr>
              <w:t xml:space="preserve">Community Languages Steering </w:t>
            </w:r>
            <w:r w:rsidR="00206DA6">
              <w:rPr>
                <w:color w:val="404040" w:themeColor="text1" w:themeTint="BF"/>
                <w:sz w:val="18"/>
              </w:rPr>
              <w:t>Committee</w:t>
            </w:r>
            <w:r>
              <w:rPr>
                <w:color w:val="404040" w:themeColor="text1" w:themeTint="BF"/>
                <w:sz w:val="18"/>
              </w:rPr>
              <w:t xml:space="preserve"> identifies Key Persons within the network </w:t>
            </w:r>
            <w:proofErr w:type="gramStart"/>
            <w:r>
              <w:rPr>
                <w:color w:val="404040" w:themeColor="text1" w:themeTint="BF"/>
                <w:sz w:val="18"/>
              </w:rPr>
              <w:t>who</w:t>
            </w:r>
            <w:proofErr w:type="gramEnd"/>
            <w:r>
              <w:rPr>
                <w:color w:val="404040" w:themeColor="text1" w:themeTint="BF"/>
                <w:sz w:val="18"/>
              </w:rPr>
              <w:t xml:space="preserve"> are a point of contact for enquiries re cultures, materials, programs</w:t>
            </w:r>
            <w:r w:rsidR="003E7CBB">
              <w:rPr>
                <w:color w:val="404040" w:themeColor="text1" w:themeTint="BF"/>
                <w:sz w:val="18"/>
              </w:rPr>
              <w:t>.</w:t>
            </w:r>
          </w:p>
          <w:p w:rsidR="003E7CBB" w:rsidRDefault="00F32133" w:rsidP="00CB4A90">
            <w:pPr>
              <w:spacing w:before="60" w:after="60" w:line="240" w:lineRule="atLeast"/>
              <w:rPr>
                <w:color w:val="404040" w:themeColor="text1" w:themeTint="BF"/>
                <w:sz w:val="18"/>
              </w:rPr>
            </w:pPr>
            <w:r>
              <w:rPr>
                <w:color w:val="404040" w:themeColor="text1" w:themeTint="BF"/>
                <w:sz w:val="18"/>
              </w:rPr>
              <w:t>Lead: Community Language Operating Committee supported by Public  Library Services</w:t>
            </w:r>
          </w:p>
        </w:tc>
        <w:tc>
          <w:tcPr>
            <w:tcW w:w="3081" w:type="dxa"/>
          </w:tcPr>
          <w:p w:rsidR="00F74477" w:rsidRDefault="00905E2A" w:rsidP="003177F1">
            <w:pPr>
              <w:spacing w:before="60" w:after="60" w:line="240" w:lineRule="atLeast"/>
              <w:rPr>
                <w:color w:val="404040" w:themeColor="text1" w:themeTint="BF"/>
                <w:sz w:val="18"/>
              </w:rPr>
            </w:pPr>
            <w:r>
              <w:rPr>
                <w:color w:val="404040" w:themeColor="text1" w:themeTint="BF"/>
                <w:sz w:val="18"/>
              </w:rPr>
              <w:t xml:space="preserve">The Key Person Network is operational by </w:t>
            </w:r>
            <w:r w:rsidR="003177F1">
              <w:rPr>
                <w:color w:val="404040" w:themeColor="text1" w:themeTint="BF"/>
                <w:sz w:val="18"/>
              </w:rPr>
              <w:t>March 2015</w:t>
            </w:r>
            <w:r w:rsidR="006F749D">
              <w:rPr>
                <w:color w:val="404040" w:themeColor="text1" w:themeTint="BF"/>
                <w:sz w:val="18"/>
              </w:rPr>
              <w:t>, and is updated annually.</w:t>
            </w:r>
          </w:p>
        </w:tc>
      </w:tr>
    </w:tbl>
    <w:p w:rsidR="00596454" w:rsidRDefault="00596454" w:rsidP="006B0243">
      <w:pPr>
        <w:pStyle w:val="Heading2"/>
      </w:pPr>
      <w:bookmarkStart w:id="17" w:name="_Toc374595988"/>
    </w:p>
    <w:p w:rsidR="006B0243" w:rsidRDefault="006B0243" w:rsidP="006B0243">
      <w:pPr>
        <w:pStyle w:val="Heading2"/>
      </w:pPr>
      <w:r>
        <w:t>Strategic direction 2: Better data, better responsiveness</w:t>
      </w:r>
      <w:bookmarkEnd w:id="17"/>
    </w:p>
    <w:p w:rsidR="00E25935" w:rsidRDefault="003624AA" w:rsidP="00567282">
      <w:r>
        <w:t>The 1LMS provides a wealth of valuable data that will help to understand borrowing patterns, geographic influence, and demand for specific materials. When overlaid with</w:t>
      </w:r>
      <w:r w:rsidR="008F317C">
        <w:t xml:space="preserve"> still-current 2011</w:t>
      </w:r>
      <w:r>
        <w:t xml:space="preserve"> Census data, the library network has a valuable tool for creating efficiencies, providing improved responsiveness, and making decisions about </w:t>
      </w:r>
      <w:r w:rsidR="008F317C">
        <w:t xml:space="preserve">high </w:t>
      </w:r>
      <w:r>
        <w:t xml:space="preserve">volume and 'long tail' services. </w:t>
      </w:r>
    </w:p>
    <w:tbl>
      <w:tblPr>
        <w:tblStyle w:val="TableGrid"/>
        <w:tblW w:w="0" w:type="auto"/>
        <w:tblBorders>
          <w:top w:val="none" w:sz="0" w:space="0" w:color="auto"/>
          <w:left w:val="none" w:sz="0" w:space="0" w:color="auto"/>
          <w:bottom w:val="none" w:sz="0" w:space="0" w:color="auto"/>
          <w:right w:val="none" w:sz="0" w:space="0" w:color="auto"/>
          <w:insideH w:val="single" w:sz="4" w:space="0" w:color="718597"/>
          <w:insideV w:val="single" w:sz="4" w:space="0" w:color="718597"/>
        </w:tblBorders>
        <w:tblLook w:val="04A0" w:firstRow="1" w:lastRow="0" w:firstColumn="1" w:lastColumn="0" w:noHBand="0" w:noVBand="1"/>
      </w:tblPr>
      <w:tblGrid>
        <w:gridCol w:w="3080"/>
        <w:gridCol w:w="3081"/>
        <w:gridCol w:w="3081"/>
      </w:tblGrid>
      <w:tr w:rsidR="00CB05E4" w:rsidRPr="00BF5C4F" w:rsidTr="00E55961">
        <w:tc>
          <w:tcPr>
            <w:tcW w:w="3080" w:type="dxa"/>
          </w:tcPr>
          <w:p w:rsidR="00CB05E4" w:rsidRPr="00BF5C4F" w:rsidRDefault="00CB05E4" w:rsidP="00E55961">
            <w:pPr>
              <w:rPr>
                <w:b/>
                <w:color w:val="808080" w:themeColor="background1" w:themeShade="80"/>
                <w:sz w:val="20"/>
              </w:rPr>
            </w:pPr>
            <w:r w:rsidRPr="00BF5C4F">
              <w:rPr>
                <w:b/>
                <w:color w:val="808080" w:themeColor="background1" w:themeShade="80"/>
                <w:sz w:val="20"/>
              </w:rPr>
              <w:t>Actions</w:t>
            </w:r>
          </w:p>
        </w:tc>
        <w:tc>
          <w:tcPr>
            <w:tcW w:w="3081" w:type="dxa"/>
          </w:tcPr>
          <w:p w:rsidR="00CB05E4" w:rsidRPr="00BF5C4F" w:rsidRDefault="00CB05E4" w:rsidP="00E55961">
            <w:pPr>
              <w:rPr>
                <w:b/>
                <w:color w:val="808080" w:themeColor="background1" w:themeShade="80"/>
                <w:sz w:val="20"/>
              </w:rPr>
            </w:pPr>
            <w:r w:rsidRPr="00BF5C4F">
              <w:rPr>
                <w:b/>
                <w:color w:val="808080" w:themeColor="background1" w:themeShade="80"/>
                <w:sz w:val="20"/>
              </w:rPr>
              <w:t>Responsibility</w:t>
            </w:r>
          </w:p>
        </w:tc>
        <w:tc>
          <w:tcPr>
            <w:tcW w:w="3081" w:type="dxa"/>
          </w:tcPr>
          <w:p w:rsidR="00CB05E4" w:rsidRPr="00BF5C4F" w:rsidRDefault="00CB05E4" w:rsidP="00E55961">
            <w:pPr>
              <w:rPr>
                <w:b/>
                <w:color w:val="808080" w:themeColor="background1" w:themeShade="80"/>
                <w:sz w:val="20"/>
              </w:rPr>
            </w:pPr>
            <w:r w:rsidRPr="00BF5C4F">
              <w:rPr>
                <w:b/>
                <w:color w:val="808080" w:themeColor="background1" w:themeShade="80"/>
                <w:sz w:val="20"/>
              </w:rPr>
              <w:t>Measurement</w:t>
            </w:r>
          </w:p>
        </w:tc>
      </w:tr>
      <w:tr w:rsidR="00CB05E4" w:rsidRPr="002E0DC5" w:rsidTr="00E55961">
        <w:tc>
          <w:tcPr>
            <w:tcW w:w="3080" w:type="dxa"/>
          </w:tcPr>
          <w:p w:rsidR="00CB05E4" w:rsidRPr="002E0DC5" w:rsidRDefault="00CB05E4" w:rsidP="00CB05E4">
            <w:pPr>
              <w:pStyle w:val="ListParagraph"/>
              <w:numPr>
                <w:ilvl w:val="0"/>
                <w:numId w:val="21"/>
              </w:numPr>
              <w:spacing w:before="60" w:after="60" w:line="240" w:lineRule="atLeast"/>
              <w:contextualSpacing w:val="0"/>
              <w:rPr>
                <w:color w:val="404040" w:themeColor="text1" w:themeTint="BF"/>
                <w:sz w:val="18"/>
              </w:rPr>
            </w:pPr>
            <w:r>
              <w:rPr>
                <w:color w:val="404040" w:themeColor="text1" w:themeTint="BF"/>
                <w:sz w:val="18"/>
              </w:rPr>
              <w:t>Identify reports that can inform more efficient and responsive services</w:t>
            </w:r>
            <w:r w:rsidR="00E5728A">
              <w:rPr>
                <w:color w:val="404040" w:themeColor="text1" w:themeTint="BF"/>
                <w:sz w:val="18"/>
              </w:rPr>
              <w:t>.</w:t>
            </w:r>
          </w:p>
        </w:tc>
        <w:tc>
          <w:tcPr>
            <w:tcW w:w="3081" w:type="dxa"/>
          </w:tcPr>
          <w:p w:rsidR="00CB05E4" w:rsidRDefault="00156D24" w:rsidP="009B4141">
            <w:pPr>
              <w:spacing w:before="60" w:after="60" w:line="240" w:lineRule="atLeast"/>
              <w:rPr>
                <w:color w:val="404040" w:themeColor="text1" w:themeTint="BF"/>
                <w:sz w:val="18"/>
              </w:rPr>
            </w:pPr>
            <w:r>
              <w:rPr>
                <w:color w:val="404040" w:themeColor="text1" w:themeTint="BF"/>
                <w:sz w:val="18"/>
              </w:rPr>
              <w:t xml:space="preserve">A </w:t>
            </w:r>
            <w:r w:rsidR="00CB05E4">
              <w:rPr>
                <w:color w:val="404040" w:themeColor="text1" w:themeTint="BF"/>
                <w:sz w:val="18"/>
              </w:rPr>
              <w:t>working grou</w:t>
            </w:r>
            <w:r w:rsidR="00FD1BB3">
              <w:rPr>
                <w:color w:val="404040" w:themeColor="text1" w:themeTint="BF"/>
                <w:sz w:val="18"/>
              </w:rPr>
              <w:t xml:space="preserve">p </w:t>
            </w:r>
            <w:r>
              <w:rPr>
                <w:color w:val="404040" w:themeColor="text1" w:themeTint="BF"/>
                <w:sz w:val="18"/>
              </w:rPr>
              <w:t>involving PLS</w:t>
            </w:r>
            <w:r w:rsidR="009B4141">
              <w:rPr>
                <w:color w:val="404040" w:themeColor="text1" w:themeTint="BF"/>
                <w:sz w:val="18"/>
              </w:rPr>
              <w:t xml:space="preserve"> and </w:t>
            </w:r>
            <w:r>
              <w:rPr>
                <w:color w:val="404040" w:themeColor="text1" w:themeTint="BF"/>
                <w:sz w:val="18"/>
              </w:rPr>
              <w:t xml:space="preserve">the </w:t>
            </w:r>
            <w:r w:rsidR="00FD1BB3">
              <w:rPr>
                <w:color w:val="404040" w:themeColor="text1" w:themeTint="BF"/>
                <w:sz w:val="18"/>
              </w:rPr>
              <w:t xml:space="preserve"> Steering and Operating Committee </w:t>
            </w:r>
            <w:r w:rsidR="00CB05E4">
              <w:rPr>
                <w:color w:val="404040" w:themeColor="text1" w:themeTint="BF"/>
                <w:sz w:val="18"/>
              </w:rPr>
              <w:t xml:space="preserve">membership, </w:t>
            </w:r>
            <w:r w:rsidR="003177F1">
              <w:rPr>
                <w:color w:val="404040" w:themeColor="text1" w:themeTint="BF"/>
                <w:sz w:val="18"/>
              </w:rPr>
              <w:t xml:space="preserve">Migrant Resource Centre SA </w:t>
            </w:r>
            <w:r w:rsidR="00CB05E4">
              <w:rPr>
                <w:color w:val="404040" w:themeColor="text1" w:themeTint="BF"/>
                <w:sz w:val="18"/>
              </w:rPr>
              <w:t>and ABS</w:t>
            </w:r>
            <w:r w:rsidR="009B4141">
              <w:rPr>
                <w:color w:val="404040" w:themeColor="text1" w:themeTint="BF"/>
                <w:sz w:val="18"/>
              </w:rPr>
              <w:t xml:space="preserve"> is established to</w:t>
            </w:r>
            <w:r w:rsidR="00CB05E4">
              <w:rPr>
                <w:color w:val="404040" w:themeColor="text1" w:themeTint="BF"/>
                <w:sz w:val="18"/>
              </w:rPr>
              <w:t xml:space="preserve"> support </w:t>
            </w:r>
            <w:r w:rsidR="003177F1">
              <w:rPr>
                <w:color w:val="404040" w:themeColor="text1" w:themeTint="BF"/>
                <w:sz w:val="18"/>
              </w:rPr>
              <w:t xml:space="preserve">and </w:t>
            </w:r>
            <w:r w:rsidR="00CB05E4">
              <w:rPr>
                <w:color w:val="404040" w:themeColor="text1" w:themeTint="BF"/>
                <w:sz w:val="18"/>
              </w:rPr>
              <w:t>develop key indicator reports that can be easily produced and provided to the network on an annual basis</w:t>
            </w:r>
            <w:r w:rsidR="006F749D">
              <w:rPr>
                <w:color w:val="404040" w:themeColor="text1" w:themeTint="BF"/>
                <w:sz w:val="18"/>
              </w:rPr>
              <w:t>.</w:t>
            </w:r>
          </w:p>
          <w:p w:rsidR="006F749D" w:rsidRPr="002E0DC5" w:rsidRDefault="00596454" w:rsidP="00E5728A">
            <w:pPr>
              <w:spacing w:before="60" w:after="60" w:line="240" w:lineRule="atLeast"/>
              <w:rPr>
                <w:color w:val="404040" w:themeColor="text1" w:themeTint="BF"/>
                <w:sz w:val="18"/>
              </w:rPr>
            </w:pPr>
            <w:r>
              <w:rPr>
                <w:color w:val="404040" w:themeColor="text1" w:themeTint="BF"/>
                <w:sz w:val="18"/>
              </w:rPr>
              <w:t>Lead: Community Language Operating Committee supported by Public  Library Services</w:t>
            </w:r>
          </w:p>
        </w:tc>
        <w:tc>
          <w:tcPr>
            <w:tcW w:w="3081" w:type="dxa"/>
          </w:tcPr>
          <w:p w:rsidR="00CB05E4" w:rsidRPr="002E0DC5" w:rsidRDefault="00CE3317" w:rsidP="00F328ED">
            <w:pPr>
              <w:spacing w:before="60" w:after="60" w:line="240" w:lineRule="atLeast"/>
              <w:rPr>
                <w:color w:val="404040" w:themeColor="text1" w:themeTint="BF"/>
                <w:sz w:val="18"/>
              </w:rPr>
            </w:pPr>
            <w:r>
              <w:rPr>
                <w:color w:val="404040" w:themeColor="text1" w:themeTint="BF"/>
                <w:sz w:val="18"/>
              </w:rPr>
              <w:t xml:space="preserve">The first report is provided to the network by </w:t>
            </w:r>
            <w:r w:rsidR="00F42C33">
              <w:rPr>
                <w:color w:val="404040" w:themeColor="text1" w:themeTint="BF"/>
                <w:sz w:val="18"/>
              </w:rPr>
              <w:t>March 2015</w:t>
            </w:r>
            <w:r>
              <w:rPr>
                <w:color w:val="404040" w:themeColor="text1" w:themeTint="BF"/>
                <w:sz w:val="18"/>
              </w:rPr>
              <w:t xml:space="preserve">, and </w:t>
            </w:r>
            <w:r w:rsidR="00F328ED">
              <w:rPr>
                <w:color w:val="404040" w:themeColor="text1" w:themeTint="BF"/>
                <w:sz w:val="18"/>
              </w:rPr>
              <w:t>s</w:t>
            </w:r>
            <w:r>
              <w:rPr>
                <w:color w:val="404040" w:themeColor="text1" w:themeTint="BF"/>
                <w:sz w:val="18"/>
              </w:rPr>
              <w:t>ubsequent r</w:t>
            </w:r>
            <w:r w:rsidR="00CB05E4">
              <w:rPr>
                <w:color w:val="404040" w:themeColor="text1" w:themeTint="BF"/>
                <w:sz w:val="18"/>
              </w:rPr>
              <w:t>eports are generated in time for consideration by the Steering Committee at their annual review meeting</w:t>
            </w:r>
          </w:p>
        </w:tc>
      </w:tr>
      <w:tr w:rsidR="00DC52CA" w:rsidRPr="002E0DC5" w:rsidTr="00E55961">
        <w:tc>
          <w:tcPr>
            <w:tcW w:w="3080" w:type="dxa"/>
          </w:tcPr>
          <w:p w:rsidR="00DC52CA" w:rsidRDefault="00DC52CA" w:rsidP="00E8536D">
            <w:pPr>
              <w:pStyle w:val="ListParagraph"/>
              <w:numPr>
                <w:ilvl w:val="0"/>
                <w:numId w:val="21"/>
              </w:numPr>
              <w:spacing w:before="60" w:after="60" w:line="240" w:lineRule="atLeast"/>
              <w:contextualSpacing w:val="0"/>
              <w:rPr>
                <w:color w:val="404040" w:themeColor="text1" w:themeTint="BF"/>
                <w:sz w:val="18"/>
              </w:rPr>
            </w:pPr>
            <w:r>
              <w:rPr>
                <w:color w:val="404040" w:themeColor="text1" w:themeTint="BF"/>
                <w:sz w:val="18"/>
              </w:rPr>
              <w:t>Investigate 1LMS capacity to address the</w:t>
            </w:r>
            <w:r w:rsidR="00E8536D">
              <w:rPr>
                <w:color w:val="404040" w:themeColor="text1" w:themeTint="BF"/>
                <w:sz w:val="18"/>
              </w:rPr>
              <w:t xml:space="preserve"> sharing of stock across the state</w:t>
            </w:r>
            <w:r w:rsidR="00D21EB1">
              <w:rPr>
                <w:color w:val="404040" w:themeColor="text1" w:themeTint="BF"/>
                <w:sz w:val="18"/>
              </w:rPr>
              <w:t>.</w:t>
            </w:r>
          </w:p>
        </w:tc>
        <w:tc>
          <w:tcPr>
            <w:tcW w:w="3081" w:type="dxa"/>
          </w:tcPr>
          <w:p w:rsidR="00DC52CA" w:rsidRDefault="009B4141" w:rsidP="00FE2E87">
            <w:pPr>
              <w:spacing w:before="60" w:after="60" w:line="240" w:lineRule="atLeast"/>
              <w:rPr>
                <w:color w:val="404040" w:themeColor="text1" w:themeTint="BF"/>
                <w:sz w:val="18"/>
              </w:rPr>
            </w:pPr>
            <w:r>
              <w:rPr>
                <w:color w:val="404040" w:themeColor="text1" w:themeTint="BF"/>
                <w:sz w:val="18"/>
              </w:rPr>
              <w:t>A worki</w:t>
            </w:r>
            <w:r w:rsidR="00693A5C">
              <w:rPr>
                <w:color w:val="404040" w:themeColor="text1" w:themeTint="BF"/>
                <w:sz w:val="18"/>
              </w:rPr>
              <w:t xml:space="preserve">ng group involving PLS and the </w:t>
            </w:r>
            <w:r>
              <w:rPr>
                <w:color w:val="404040" w:themeColor="text1" w:themeTint="BF"/>
                <w:sz w:val="18"/>
              </w:rPr>
              <w:t xml:space="preserve">Steering and Operating Committee membership to </w:t>
            </w:r>
            <w:r w:rsidR="00FE2E87">
              <w:rPr>
                <w:color w:val="404040" w:themeColor="text1" w:themeTint="BF"/>
                <w:sz w:val="18"/>
              </w:rPr>
              <w:t xml:space="preserve">provide a short report to libraries re options for servicing </w:t>
            </w:r>
            <w:r w:rsidR="00B91104">
              <w:rPr>
                <w:color w:val="404040" w:themeColor="text1" w:themeTint="BF"/>
                <w:sz w:val="18"/>
              </w:rPr>
              <w:t>the CALD community.</w:t>
            </w:r>
          </w:p>
          <w:p w:rsidR="00FE2E87" w:rsidRDefault="00596454" w:rsidP="00206DA6">
            <w:pPr>
              <w:spacing w:before="60" w:after="60" w:line="240" w:lineRule="atLeast"/>
              <w:rPr>
                <w:color w:val="404040" w:themeColor="text1" w:themeTint="BF"/>
                <w:sz w:val="18"/>
              </w:rPr>
            </w:pPr>
            <w:r>
              <w:rPr>
                <w:color w:val="404040" w:themeColor="text1" w:themeTint="BF"/>
                <w:sz w:val="18"/>
              </w:rPr>
              <w:t>Lead: Community Language Operating Committee supported by Public  Library Services</w:t>
            </w:r>
          </w:p>
        </w:tc>
        <w:tc>
          <w:tcPr>
            <w:tcW w:w="3081" w:type="dxa"/>
          </w:tcPr>
          <w:p w:rsidR="00DC52CA" w:rsidRDefault="002874E4" w:rsidP="002874E4">
            <w:pPr>
              <w:spacing w:before="60" w:after="60" w:line="240" w:lineRule="atLeast"/>
              <w:rPr>
                <w:color w:val="404040" w:themeColor="text1" w:themeTint="BF"/>
                <w:sz w:val="18"/>
              </w:rPr>
            </w:pPr>
            <w:r>
              <w:rPr>
                <w:color w:val="404040" w:themeColor="text1" w:themeTint="BF"/>
                <w:sz w:val="18"/>
              </w:rPr>
              <w:br/>
            </w:r>
            <w:r>
              <w:rPr>
                <w:color w:val="404040" w:themeColor="text1" w:themeTint="BF"/>
                <w:sz w:val="18"/>
              </w:rPr>
              <w:br/>
            </w:r>
          </w:p>
          <w:p w:rsidR="002874E4" w:rsidRDefault="002874E4" w:rsidP="00F328ED">
            <w:pPr>
              <w:spacing w:before="60" w:after="60" w:line="240" w:lineRule="atLeast"/>
              <w:rPr>
                <w:color w:val="404040" w:themeColor="text1" w:themeTint="BF"/>
                <w:sz w:val="18"/>
              </w:rPr>
            </w:pPr>
            <w:r>
              <w:rPr>
                <w:color w:val="404040" w:themeColor="text1" w:themeTint="BF"/>
                <w:sz w:val="18"/>
              </w:rPr>
              <w:t>Recommendations for cha</w:t>
            </w:r>
            <w:r w:rsidR="005A4F03">
              <w:rPr>
                <w:color w:val="404040" w:themeColor="text1" w:themeTint="BF"/>
                <w:sz w:val="18"/>
              </w:rPr>
              <w:t xml:space="preserve">nges to Policy and Procedures </w:t>
            </w:r>
            <w:r w:rsidR="00F328ED">
              <w:rPr>
                <w:color w:val="404040" w:themeColor="text1" w:themeTint="BF"/>
                <w:sz w:val="18"/>
              </w:rPr>
              <w:t>by March 2015</w:t>
            </w:r>
          </w:p>
        </w:tc>
      </w:tr>
      <w:tr w:rsidR="005B312A" w:rsidRPr="002E0DC5" w:rsidTr="00E55961">
        <w:tc>
          <w:tcPr>
            <w:tcW w:w="3080" w:type="dxa"/>
          </w:tcPr>
          <w:p w:rsidR="005B312A" w:rsidRDefault="005B312A" w:rsidP="00083E62">
            <w:pPr>
              <w:pStyle w:val="ListParagraph"/>
              <w:numPr>
                <w:ilvl w:val="0"/>
                <w:numId w:val="21"/>
              </w:numPr>
              <w:spacing w:before="60" w:after="60" w:line="240" w:lineRule="atLeast"/>
              <w:contextualSpacing w:val="0"/>
              <w:rPr>
                <w:color w:val="404040" w:themeColor="text1" w:themeTint="BF"/>
                <w:sz w:val="18"/>
              </w:rPr>
            </w:pPr>
            <w:r>
              <w:rPr>
                <w:color w:val="404040" w:themeColor="text1" w:themeTint="BF"/>
                <w:sz w:val="18"/>
              </w:rPr>
              <w:t>Review policies and procedures, including allocation of levy</w:t>
            </w:r>
            <w:r w:rsidR="00083E62">
              <w:rPr>
                <w:color w:val="404040" w:themeColor="text1" w:themeTint="BF"/>
                <w:sz w:val="18"/>
              </w:rPr>
              <w:t>,</w:t>
            </w:r>
            <w:r>
              <w:rPr>
                <w:color w:val="404040" w:themeColor="text1" w:themeTint="BF"/>
                <w:sz w:val="18"/>
              </w:rPr>
              <w:t xml:space="preserve"> </w:t>
            </w:r>
            <w:r w:rsidR="00F375B7">
              <w:rPr>
                <w:color w:val="404040" w:themeColor="text1" w:themeTint="BF"/>
                <w:sz w:val="18"/>
              </w:rPr>
              <w:t>collections management</w:t>
            </w:r>
            <w:r w:rsidR="00083E62">
              <w:rPr>
                <w:color w:val="404040" w:themeColor="text1" w:themeTint="BF"/>
                <w:sz w:val="18"/>
              </w:rPr>
              <w:t xml:space="preserve"> and stock allocation, and automated cataloguing</w:t>
            </w:r>
          </w:p>
        </w:tc>
        <w:tc>
          <w:tcPr>
            <w:tcW w:w="3081" w:type="dxa"/>
          </w:tcPr>
          <w:p w:rsidR="005B312A" w:rsidRDefault="009B4141" w:rsidP="005A4F03">
            <w:pPr>
              <w:spacing w:before="60" w:after="60" w:line="240" w:lineRule="atLeast"/>
              <w:rPr>
                <w:color w:val="404040" w:themeColor="text1" w:themeTint="BF"/>
                <w:sz w:val="18"/>
              </w:rPr>
            </w:pPr>
            <w:r>
              <w:rPr>
                <w:color w:val="404040" w:themeColor="text1" w:themeTint="BF"/>
                <w:sz w:val="18"/>
              </w:rPr>
              <w:t>A working group involving PLS and the Steering and Operating Committee membership</w:t>
            </w:r>
            <w:r w:rsidDel="009B4141">
              <w:rPr>
                <w:color w:val="404040" w:themeColor="text1" w:themeTint="BF"/>
                <w:sz w:val="18"/>
              </w:rPr>
              <w:t xml:space="preserve"> </w:t>
            </w:r>
            <w:r w:rsidR="005A4F03">
              <w:rPr>
                <w:color w:val="404040" w:themeColor="text1" w:themeTint="BF"/>
                <w:sz w:val="18"/>
              </w:rPr>
              <w:t>to review Policies and Procedures for immediate implications of the Community Languages review, and support the Steering Committee to consider longer-term changes as part of their annual Strategy Review in November 2014</w:t>
            </w:r>
            <w:r w:rsidR="00E5728A">
              <w:rPr>
                <w:color w:val="404040" w:themeColor="text1" w:themeTint="BF"/>
                <w:sz w:val="18"/>
              </w:rPr>
              <w:t>.</w:t>
            </w:r>
          </w:p>
          <w:p w:rsidR="00E5728A" w:rsidRDefault="00596454" w:rsidP="00E5728A">
            <w:pPr>
              <w:spacing w:before="60" w:after="60" w:line="240" w:lineRule="atLeast"/>
              <w:rPr>
                <w:color w:val="404040" w:themeColor="text1" w:themeTint="BF"/>
                <w:sz w:val="18"/>
              </w:rPr>
            </w:pPr>
            <w:r>
              <w:rPr>
                <w:color w:val="404040" w:themeColor="text1" w:themeTint="BF"/>
                <w:sz w:val="18"/>
              </w:rPr>
              <w:t>Lead: Community Language Operating Committee supported by Public  Library Services</w:t>
            </w:r>
          </w:p>
        </w:tc>
        <w:tc>
          <w:tcPr>
            <w:tcW w:w="3081" w:type="dxa"/>
          </w:tcPr>
          <w:p w:rsidR="00C83EFB" w:rsidRDefault="00F328ED" w:rsidP="00E55961">
            <w:pPr>
              <w:spacing w:before="60" w:after="60" w:line="240" w:lineRule="atLeast"/>
              <w:rPr>
                <w:color w:val="404040" w:themeColor="text1" w:themeTint="BF"/>
                <w:sz w:val="18"/>
              </w:rPr>
            </w:pPr>
            <w:r>
              <w:rPr>
                <w:color w:val="404040" w:themeColor="text1" w:themeTint="BF"/>
                <w:sz w:val="18"/>
              </w:rPr>
              <w:t>A</w:t>
            </w:r>
            <w:r w:rsidR="00C83EFB">
              <w:rPr>
                <w:color w:val="404040" w:themeColor="text1" w:themeTint="BF"/>
                <w:sz w:val="18"/>
              </w:rPr>
              <w:t>dopted by February 2015</w:t>
            </w:r>
          </w:p>
        </w:tc>
      </w:tr>
    </w:tbl>
    <w:p w:rsidR="00E25935" w:rsidRDefault="00E25935" w:rsidP="00567282"/>
    <w:p w:rsidR="00E25935" w:rsidRDefault="00E25935" w:rsidP="00567282"/>
    <w:p w:rsidR="00E25935" w:rsidRDefault="00E25935" w:rsidP="00567282"/>
    <w:p w:rsidR="00EF505C" w:rsidRDefault="00175C6D" w:rsidP="00F32133">
      <w:pPr>
        <w:pStyle w:val="Heading2"/>
      </w:pPr>
      <w:r>
        <w:br w:type="page"/>
      </w:r>
      <w:bookmarkStart w:id="18" w:name="_Toc374595989"/>
      <w:r w:rsidR="00EF505C">
        <w:t>Strategic direction 3: Easier Access and Entry Points</w:t>
      </w:r>
      <w:bookmarkEnd w:id="18"/>
    </w:p>
    <w:p w:rsidR="00E25935" w:rsidRDefault="00EF505C" w:rsidP="00567282">
      <w:r>
        <w:t xml:space="preserve">There are a number of access points for library users, from knowing about the service, to comfort entering the building and asking for help, to online access, </w:t>
      </w:r>
      <w:r w:rsidR="001E0A07">
        <w:t>and providing feedback on the CALD collections and programs.</w:t>
      </w:r>
      <w:r w:rsidR="00175C6D">
        <w:t xml:space="preserve"> </w:t>
      </w:r>
    </w:p>
    <w:p w:rsidR="00175C6D" w:rsidRDefault="00175C6D" w:rsidP="00567282"/>
    <w:tbl>
      <w:tblPr>
        <w:tblStyle w:val="TableGrid"/>
        <w:tblW w:w="0" w:type="auto"/>
        <w:tblBorders>
          <w:top w:val="none" w:sz="0" w:space="0" w:color="auto"/>
          <w:left w:val="none" w:sz="0" w:space="0" w:color="auto"/>
          <w:bottom w:val="none" w:sz="0" w:space="0" w:color="auto"/>
          <w:right w:val="none" w:sz="0" w:space="0" w:color="auto"/>
          <w:insideH w:val="single" w:sz="4" w:space="0" w:color="718597"/>
          <w:insideV w:val="single" w:sz="4" w:space="0" w:color="718597"/>
        </w:tblBorders>
        <w:tblLook w:val="04A0" w:firstRow="1" w:lastRow="0" w:firstColumn="1" w:lastColumn="0" w:noHBand="0" w:noVBand="1"/>
      </w:tblPr>
      <w:tblGrid>
        <w:gridCol w:w="3080"/>
        <w:gridCol w:w="3081"/>
        <w:gridCol w:w="3081"/>
      </w:tblGrid>
      <w:tr w:rsidR="00175C6D" w:rsidRPr="00BF5C4F" w:rsidTr="00E55961">
        <w:tc>
          <w:tcPr>
            <w:tcW w:w="3080" w:type="dxa"/>
          </w:tcPr>
          <w:p w:rsidR="00175C6D" w:rsidRPr="00BF5C4F" w:rsidRDefault="00175C6D" w:rsidP="00E55961">
            <w:pPr>
              <w:rPr>
                <w:b/>
                <w:color w:val="808080" w:themeColor="background1" w:themeShade="80"/>
                <w:sz w:val="20"/>
              </w:rPr>
            </w:pPr>
            <w:r w:rsidRPr="00BF5C4F">
              <w:rPr>
                <w:b/>
                <w:color w:val="808080" w:themeColor="background1" w:themeShade="80"/>
                <w:sz w:val="20"/>
              </w:rPr>
              <w:t>Actions</w:t>
            </w:r>
          </w:p>
        </w:tc>
        <w:tc>
          <w:tcPr>
            <w:tcW w:w="3081" w:type="dxa"/>
          </w:tcPr>
          <w:p w:rsidR="00175C6D" w:rsidRPr="00BF5C4F" w:rsidRDefault="00175C6D" w:rsidP="00E55961">
            <w:pPr>
              <w:rPr>
                <w:b/>
                <w:color w:val="808080" w:themeColor="background1" w:themeShade="80"/>
                <w:sz w:val="20"/>
              </w:rPr>
            </w:pPr>
            <w:r w:rsidRPr="00BF5C4F">
              <w:rPr>
                <w:b/>
                <w:color w:val="808080" w:themeColor="background1" w:themeShade="80"/>
                <w:sz w:val="20"/>
              </w:rPr>
              <w:t>Responsibility</w:t>
            </w:r>
          </w:p>
        </w:tc>
        <w:tc>
          <w:tcPr>
            <w:tcW w:w="3081" w:type="dxa"/>
          </w:tcPr>
          <w:p w:rsidR="00175C6D" w:rsidRPr="00BF5C4F" w:rsidRDefault="00175C6D" w:rsidP="00E55961">
            <w:pPr>
              <w:rPr>
                <w:b/>
                <w:color w:val="808080" w:themeColor="background1" w:themeShade="80"/>
                <w:sz w:val="20"/>
              </w:rPr>
            </w:pPr>
            <w:r w:rsidRPr="00BF5C4F">
              <w:rPr>
                <w:b/>
                <w:color w:val="808080" w:themeColor="background1" w:themeShade="80"/>
                <w:sz w:val="20"/>
              </w:rPr>
              <w:t>Measurement</w:t>
            </w:r>
          </w:p>
        </w:tc>
      </w:tr>
      <w:tr w:rsidR="00175C6D" w:rsidRPr="002E0DC5" w:rsidTr="00E55961">
        <w:tc>
          <w:tcPr>
            <w:tcW w:w="3080" w:type="dxa"/>
          </w:tcPr>
          <w:p w:rsidR="00175C6D" w:rsidRPr="002E0DC5" w:rsidRDefault="00175C6D" w:rsidP="009A5AAB">
            <w:pPr>
              <w:pStyle w:val="ListParagraph"/>
              <w:numPr>
                <w:ilvl w:val="0"/>
                <w:numId w:val="21"/>
              </w:numPr>
              <w:spacing w:before="60" w:after="60" w:line="240" w:lineRule="atLeast"/>
              <w:contextualSpacing w:val="0"/>
              <w:rPr>
                <w:color w:val="404040" w:themeColor="text1" w:themeTint="BF"/>
                <w:sz w:val="18"/>
              </w:rPr>
            </w:pPr>
            <w:r>
              <w:rPr>
                <w:color w:val="404040" w:themeColor="text1" w:themeTint="BF"/>
                <w:sz w:val="18"/>
              </w:rPr>
              <w:t xml:space="preserve">Libraries to </w:t>
            </w:r>
            <w:r w:rsidR="00A84758">
              <w:rPr>
                <w:color w:val="404040" w:themeColor="text1" w:themeTint="BF"/>
                <w:sz w:val="18"/>
              </w:rPr>
              <w:t>improve</w:t>
            </w:r>
            <w:r>
              <w:rPr>
                <w:color w:val="404040" w:themeColor="text1" w:themeTint="BF"/>
                <w:sz w:val="18"/>
              </w:rPr>
              <w:t xml:space="preserve"> signage for CALD communities </w:t>
            </w:r>
            <w:r w:rsidR="00A84758">
              <w:rPr>
                <w:color w:val="404040" w:themeColor="text1" w:themeTint="BF"/>
                <w:sz w:val="18"/>
              </w:rPr>
              <w:t>to better use libraries.</w:t>
            </w:r>
          </w:p>
        </w:tc>
        <w:tc>
          <w:tcPr>
            <w:tcW w:w="3081" w:type="dxa"/>
          </w:tcPr>
          <w:p w:rsidR="00175C6D" w:rsidRDefault="009B4141" w:rsidP="00175C6D">
            <w:pPr>
              <w:spacing w:before="60" w:after="60" w:line="240" w:lineRule="atLeast"/>
              <w:rPr>
                <w:color w:val="404040" w:themeColor="text1" w:themeTint="BF"/>
                <w:sz w:val="18"/>
              </w:rPr>
            </w:pPr>
            <w:r>
              <w:rPr>
                <w:color w:val="404040" w:themeColor="text1" w:themeTint="BF"/>
                <w:sz w:val="18"/>
              </w:rPr>
              <w:t>A worki</w:t>
            </w:r>
            <w:r w:rsidR="00826C10">
              <w:rPr>
                <w:color w:val="404040" w:themeColor="text1" w:themeTint="BF"/>
                <w:sz w:val="18"/>
              </w:rPr>
              <w:t xml:space="preserve">ng group involving PLS and the </w:t>
            </w:r>
            <w:r>
              <w:rPr>
                <w:color w:val="404040" w:themeColor="text1" w:themeTint="BF"/>
                <w:sz w:val="18"/>
              </w:rPr>
              <w:t>Steering and Operating Committee membership</w:t>
            </w:r>
            <w:r w:rsidR="00175C6D">
              <w:rPr>
                <w:color w:val="404040" w:themeColor="text1" w:themeTint="BF"/>
                <w:sz w:val="18"/>
              </w:rPr>
              <w:t xml:space="preserve"> to </w:t>
            </w:r>
            <w:r w:rsidR="00B338DE">
              <w:rPr>
                <w:color w:val="404040" w:themeColor="text1" w:themeTint="BF"/>
                <w:sz w:val="18"/>
              </w:rPr>
              <w:t>investigate signage.</w:t>
            </w:r>
          </w:p>
          <w:p w:rsidR="00175C6D" w:rsidRPr="002E0DC5" w:rsidRDefault="00B338DE" w:rsidP="00596454">
            <w:pPr>
              <w:spacing w:before="60" w:after="60" w:line="240" w:lineRule="atLeast"/>
              <w:rPr>
                <w:color w:val="404040" w:themeColor="text1" w:themeTint="BF"/>
                <w:sz w:val="18"/>
              </w:rPr>
            </w:pPr>
            <w:r>
              <w:rPr>
                <w:color w:val="404040" w:themeColor="text1" w:themeTint="BF"/>
                <w:sz w:val="18"/>
              </w:rPr>
              <w:t xml:space="preserve">Lead: </w:t>
            </w:r>
            <w:r w:rsidR="00FD1BB3">
              <w:rPr>
                <w:color w:val="404040" w:themeColor="text1" w:themeTint="BF"/>
                <w:sz w:val="18"/>
              </w:rPr>
              <w:t>Operating Committee</w:t>
            </w:r>
            <w:r w:rsidR="00175C6D">
              <w:rPr>
                <w:color w:val="404040" w:themeColor="text1" w:themeTint="BF"/>
                <w:sz w:val="18"/>
              </w:rPr>
              <w:t xml:space="preserve"> to collate findings a</w:t>
            </w:r>
            <w:r>
              <w:rPr>
                <w:color w:val="404040" w:themeColor="text1" w:themeTint="BF"/>
                <w:sz w:val="18"/>
              </w:rPr>
              <w:t>nd work with P</w:t>
            </w:r>
            <w:r w:rsidR="00596454">
              <w:rPr>
                <w:color w:val="404040" w:themeColor="text1" w:themeTint="BF"/>
                <w:sz w:val="18"/>
              </w:rPr>
              <w:t>ublic Library Services</w:t>
            </w:r>
            <w:r>
              <w:rPr>
                <w:color w:val="404040" w:themeColor="text1" w:themeTint="BF"/>
                <w:sz w:val="18"/>
              </w:rPr>
              <w:t xml:space="preserve"> to arrange for templates for  </w:t>
            </w:r>
            <w:r w:rsidR="00175C6D">
              <w:rPr>
                <w:color w:val="404040" w:themeColor="text1" w:themeTint="BF"/>
                <w:sz w:val="18"/>
              </w:rPr>
              <w:t>generic signs to be provided to libraries</w:t>
            </w:r>
            <w:r>
              <w:rPr>
                <w:color w:val="404040" w:themeColor="text1" w:themeTint="BF"/>
                <w:sz w:val="18"/>
              </w:rPr>
              <w:t xml:space="preserve"> </w:t>
            </w:r>
          </w:p>
        </w:tc>
        <w:tc>
          <w:tcPr>
            <w:tcW w:w="3081" w:type="dxa"/>
          </w:tcPr>
          <w:p w:rsidR="00175C6D" w:rsidRDefault="00175C6D" w:rsidP="00E55961">
            <w:pPr>
              <w:spacing w:before="60" w:after="60" w:line="240" w:lineRule="atLeast"/>
              <w:rPr>
                <w:color w:val="404040" w:themeColor="text1" w:themeTint="BF"/>
                <w:sz w:val="18"/>
              </w:rPr>
            </w:pPr>
            <w:r>
              <w:rPr>
                <w:color w:val="404040" w:themeColor="text1" w:themeTint="BF"/>
                <w:sz w:val="18"/>
              </w:rPr>
              <w:t>Information ab</w:t>
            </w:r>
            <w:r w:rsidR="00DF2DE7">
              <w:rPr>
                <w:color w:val="404040" w:themeColor="text1" w:themeTint="BF"/>
                <w:sz w:val="18"/>
              </w:rPr>
              <w:t xml:space="preserve">out </w:t>
            </w:r>
            <w:r w:rsidR="00693A5C">
              <w:rPr>
                <w:color w:val="404040" w:themeColor="text1" w:themeTint="BF"/>
                <w:sz w:val="18"/>
              </w:rPr>
              <w:t xml:space="preserve">signage </w:t>
            </w:r>
            <w:proofErr w:type="gramStart"/>
            <w:r w:rsidR="00826C10">
              <w:rPr>
                <w:color w:val="404040" w:themeColor="text1" w:themeTint="BF"/>
                <w:sz w:val="18"/>
              </w:rPr>
              <w:t>be</w:t>
            </w:r>
            <w:proofErr w:type="gramEnd"/>
            <w:r w:rsidR="00826C10">
              <w:rPr>
                <w:color w:val="404040" w:themeColor="text1" w:themeTint="BF"/>
                <w:sz w:val="18"/>
              </w:rPr>
              <w:t xml:space="preserve"> distributed to</w:t>
            </w:r>
            <w:r w:rsidR="00DF2DE7">
              <w:rPr>
                <w:color w:val="404040" w:themeColor="text1" w:themeTint="BF"/>
                <w:sz w:val="18"/>
              </w:rPr>
              <w:t xml:space="preserve"> all library manager</w:t>
            </w:r>
            <w:r w:rsidR="00826C10">
              <w:rPr>
                <w:color w:val="404040" w:themeColor="text1" w:themeTint="BF"/>
                <w:sz w:val="18"/>
              </w:rPr>
              <w:t xml:space="preserve">s by December </w:t>
            </w:r>
            <w:r w:rsidR="00F328ED">
              <w:rPr>
                <w:color w:val="404040" w:themeColor="text1" w:themeTint="BF"/>
                <w:sz w:val="18"/>
              </w:rPr>
              <w:t>March 2015</w:t>
            </w:r>
            <w:r w:rsidR="00826C10">
              <w:rPr>
                <w:color w:val="404040" w:themeColor="text1" w:themeTint="BF"/>
                <w:sz w:val="18"/>
              </w:rPr>
              <w:t>.</w:t>
            </w:r>
          </w:p>
          <w:p w:rsidR="00175C6D" w:rsidRPr="002E0DC5" w:rsidRDefault="00175C6D" w:rsidP="00E55961">
            <w:pPr>
              <w:spacing w:before="60" w:after="60" w:line="240" w:lineRule="atLeast"/>
              <w:rPr>
                <w:color w:val="404040" w:themeColor="text1" w:themeTint="BF"/>
                <w:sz w:val="18"/>
              </w:rPr>
            </w:pPr>
          </w:p>
        </w:tc>
      </w:tr>
      <w:tr w:rsidR="001A6557" w:rsidRPr="002E0DC5" w:rsidTr="00E55961">
        <w:tc>
          <w:tcPr>
            <w:tcW w:w="3080" w:type="dxa"/>
          </w:tcPr>
          <w:p w:rsidR="001A6557" w:rsidRDefault="001A6557" w:rsidP="00D851C7">
            <w:pPr>
              <w:pStyle w:val="ListParagraph"/>
              <w:numPr>
                <w:ilvl w:val="0"/>
                <w:numId w:val="21"/>
              </w:numPr>
              <w:spacing w:before="60" w:after="60" w:line="240" w:lineRule="atLeast"/>
              <w:contextualSpacing w:val="0"/>
              <w:rPr>
                <w:color w:val="404040" w:themeColor="text1" w:themeTint="BF"/>
                <w:sz w:val="18"/>
              </w:rPr>
            </w:pPr>
            <w:r>
              <w:rPr>
                <w:color w:val="404040" w:themeColor="text1" w:themeTint="BF"/>
                <w:sz w:val="18"/>
              </w:rPr>
              <w:t xml:space="preserve">Investigation of provision of alternative language options for </w:t>
            </w:r>
            <w:r w:rsidR="00D851C7">
              <w:rPr>
                <w:color w:val="404040" w:themeColor="text1" w:themeTint="BF"/>
                <w:sz w:val="18"/>
              </w:rPr>
              <w:t>Enterprise</w:t>
            </w:r>
          </w:p>
        </w:tc>
        <w:tc>
          <w:tcPr>
            <w:tcW w:w="3081" w:type="dxa"/>
          </w:tcPr>
          <w:p w:rsidR="001A6557" w:rsidRDefault="001A6557" w:rsidP="001A6557">
            <w:pPr>
              <w:spacing w:before="60" w:after="60" w:line="240" w:lineRule="atLeast"/>
              <w:rPr>
                <w:color w:val="404040" w:themeColor="text1" w:themeTint="BF"/>
                <w:sz w:val="18"/>
              </w:rPr>
            </w:pPr>
            <w:r>
              <w:rPr>
                <w:color w:val="404040" w:themeColor="text1" w:themeTint="BF"/>
                <w:sz w:val="18"/>
              </w:rPr>
              <w:t>PLS to investigate feasibility, and implement as indicated</w:t>
            </w:r>
            <w:r w:rsidR="00D851C7">
              <w:rPr>
                <w:color w:val="404040" w:themeColor="text1" w:themeTint="BF"/>
                <w:sz w:val="18"/>
              </w:rPr>
              <w:t>.</w:t>
            </w:r>
          </w:p>
          <w:p w:rsidR="00D851C7" w:rsidRDefault="00596454" w:rsidP="00206DA6">
            <w:pPr>
              <w:spacing w:before="60" w:after="60" w:line="240" w:lineRule="atLeast"/>
              <w:rPr>
                <w:color w:val="404040" w:themeColor="text1" w:themeTint="BF"/>
                <w:sz w:val="18"/>
              </w:rPr>
            </w:pPr>
            <w:r>
              <w:rPr>
                <w:color w:val="404040" w:themeColor="text1" w:themeTint="BF"/>
                <w:sz w:val="18"/>
              </w:rPr>
              <w:t>Lead: Community Language Operating Committee supported by Public  Library Services</w:t>
            </w:r>
          </w:p>
        </w:tc>
        <w:tc>
          <w:tcPr>
            <w:tcW w:w="3081" w:type="dxa"/>
          </w:tcPr>
          <w:p w:rsidR="001A6557" w:rsidRDefault="00D851C7" w:rsidP="00E55961">
            <w:pPr>
              <w:spacing w:before="60" w:after="60" w:line="240" w:lineRule="atLeast"/>
              <w:rPr>
                <w:color w:val="404040" w:themeColor="text1" w:themeTint="BF"/>
                <w:sz w:val="18"/>
              </w:rPr>
            </w:pPr>
            <w:r>
              <w:rPr>
                <w:color w:val="404040" w:themeColor="text1" w:themeTint="BF"/>
                <w:sz w:val="18"/>
              </w:rPr>
              <w:t>PLS to investigate f</w:t>
            </w:r>
            <w:r w:rsidR="001A6557">
              <w:rPr>
                <w:color w:val="404040" w:themeColor="text1" w:themeTint="BF"/>
                <w:sz w:val="18"/>
              </w:rPr>
              <w:t xml:space="preserve">easibility </w:t>
            </w:r>
            <w:r>
              <w:rPr>
                <w:color w:val="404040" w:themeColor="text1" w:themeTint="BF"/>
                <w:sz w:val="18"/>
              </w:rPr>
              <w:t>and implement.</w:t>
            </w:r>
          </w:p>
          <w:p w:rsidR="001A6557" w:rsidRDefault="001A6557" w:rsidP="00206DA6">
            <w:pPr>
              <w:spacing w:before="60" w:after="60" w:line="240" w:lineRule="atLeast"/>
              <w:rPr>
                <w:color w:val="404040" w:themeColor="text1" w:themeTint="BF"/>
                <w:sz w:val="18"/>
              </w:rPr>
            </w:pPr>
          </w:p>
        </w:tc>
      </w:tr>
      <w:tr w:rsidR="0006099B" w:rsidRPr="002E0DC5" w:rsidTr="00E55961">
        <w:tc>
          <w:tcPr>
            <w:tcW w:w="3080" w:type="dxa"/>
          </w:tcPr>
          <w:p w:rsidR="0006099B" w:rsidRDefault="0006099B" w:rsidP="0006099B">
            <w:pPr>
              <w:pStyle w:val="ListParagraph"/>
              <w:numPr>
                <w:ilvl w:val="0"/>
                <w:numId w:val="21"/>
              </w:numPr>
              <w:spacing w:before="60" w:after="60" w:line="240" w:lineRule="atLeast"/>
              <w:contextualSpacing w:val="0"/>
              <w:rPr>
                <w:color w:val="404040" w:themeColor="text1" w:themeTint="BF"/>
                <w:sz w:val="18"/>
              </w:rPr>
            </w:pPr>
            <w:r>
              <w:rPr>
                <w:color w:val="404040" w:themeColor="text1" w:themeTint="BF"/>
                <w:sz w:val="18"/>
              </w:rPr>
              <w:t>A guide for programs that engage specific cohorts of CALD communities (such as Baby Bounce, Dads Read) to be developed and implemented with training</w:t>
            </w:r>
          </w:p>
        </w:tc>
        <w:tc>
          <w:tcPr>
            <w:tcW w:w="3081" w:type="dxa"/>
          </w:tcPr>
          <w:p w:rsidR="0094799D" w:rsidRDefault="0006099B" w:rsidP="0006099B">
            <w:pPr>
              <w:spacing w:before="60" w:after="60" w:line="240" w:lineRule="atLeast"/>
              <w:rPr>
                <w:color w:val="404040" w:themeColor="text1" w:themeTint="BF"/>
                <w:sz w:val="18"/>
              </w:rPr>
            </w:pPr>
            <w:r>
              <w:rPr>
                <w:color w:val="404040" w:themeColor="text1" w:themeTint="BF"/>
                <w:sz w:val="18"/>
              </w:rPr>
              <w:t>PLS to work with experienced individuals identified in the Key Person Network (see Item 5) to develop a guide and distribute with associated training</w:t>
            </w:r>
            <w:r w:rsidR="0094799D">
              <w:rPr>
                <w:color w:val="404040" w:themeColor="text1" w:themeTint="BF"/>
                <w:sz w:val="18"/>
              </w:rPr>
              <w:t xml:space="preserve"> </w:t>
            </w:r>
          </w:p>
          <w:p w:rsidR="0094799D" w:rsidRDefault="00596454" w:rsidP="0006099B">
            <w:pPr>
              <w:spacing w:before="60" w:after="60" w:line="240" w:lineRule="atLeast"/>
              <w:rPr>
                <w:color w:val="404040" w:themeColor="text1" w:themeTint="BF"/>
                <w:sz w:val="18"/>
              </w:rPr>
            </w:pPr>
            <w:r>
              <w:rPr>
                <w:color w:val="404040" w:themeColor="text1" w:themeTint="BF"/>
                <w:sz w:val="18"/>
              </w:rPr>
              <w:t xml:space="preserve">Lead: Community Language Operating Committee supported by Public  Library Services </w:t>
            </w:r>
          </w:p>
        </w:tc>
        <w:tc>
          <w:tcPr>
            <w:tcW w:w="3081" w:type="dxa"/>
          </w:tcPr>
          <w:p w:rsidR="0006099B" w:rsidRDefault="0006099B" w:rsidP="0006099B">
            <w:pPr>
              <w:spacing w:before="60" w:after="60" w:line="240" w:lineRule="atLeast"/>
              <w:rPr>
                <w:color w:val="404040" w:themeColor="text1" w:themeTint="BF"/>
                <w:sz w:val="18"/>
              </w:rPr>
            </w:pPr>
            <w:r>
              <w:rPr>
                <w:color w:val="404040" w:themeColor="text1" w:themeTint="BF"/>
                <w:sz w:val="18"/>
              </w:rPr>
              <w:t xml:space="preserve">Guide published </w:t>
            </w:r>
            <w:r w:rsidR="00F328ED">
              <w:rPr>
                <w:color w:val="404040" w:themeColor="text1" w:themeTint="BF"/>
                <w:sz w:val="18"/>
              </w:rPr>
              <w:t>March</w:t>
            </w:r>
            <w:r>
              <w:rPr>
                <w:color w:val="404040" w:themeColor="text1" w:themeTint="BF"/>
                <w:sz w:val="18"/>
              </w:rPr>
              <w:t xml:space="preserve"> 2015</w:t>
            </w:r>
          </w:p>
          <w:p w:rsidR="0006099B" w:rsidRDefault="0006099B" w:rsidP="0006099B">
            <w:pPr>
              <w:spacing w:before="60" w:after="60" w:line="240" w:lineRule="atLeast"/>
              <w:rPr>
                <w:color w:val="404040" w:themeColor="text1" w:themeTint="BF"/>
                <w:sz w:val="18"/>
              </w:rPr>
            </w:pPr>
            <w:r>
              <w:rPr>
                <w:color w:val="404040" w:themeColor="text1" w:themeTint="BF"/>
                <w:sz w:val="18"/>
              </w:rPr>
              <w:t>Training completed by April 2015</w:t>
            </w:r>
          </w:p>
        </w:tc>
      </w:tr>
    </w:tbl>
    <w:p w:rsidR="00E25935" w:rsidRDefault="00E25935" w:rsidP="00567282"/>
    <w:p w:rsidR="00E25935" w:rsidRDefault="00E25935" w:rsidP="00567282"/>
    <w:p w:rsidR="00175C6D" w:rsidRDefault="00175C6D" w:rsidP="00567282"/>
    <w:p w:rsidR="00F35779" w:rsidRDefault="00F35779">
      <w:pPr>
        <w:spacing w:before="0" w:after="0" w:line="240" w:lineRule="auto"/>
      </w:pPr>
      <w:r>
        <w:br w:type="page"/>
      </w:r>
    </w:p>
    <w:p w:rsidR="00F35779" w:rsidRDefault="00F35779" w:rsidP="00F35779">
      <w:pPr>
        <w:pStyle w:val="Heading2"/>
      </w:pPr>
      <w:bookmarkStart w:id="19" w:name="_Toc374595990"/>
      <w:r>
        <w:t>Strategic direction 4: Sharing information and resou</w:t>
      </w:r>
      <w:r w:rsidR="00E81AE0">
        <w:t>r</w:t>
      </w:r>
      <w:r>
        <w:t>ces</w:t>
      </w:r>
      <w:bookmarkEnd w:id="19"/>
    </w:p>
    <w:p w:rsidR="00175C6D" w:rsidRDefault="004661CC" w:rsidP="00567282">
      <w:r w:rsidRPr="00CB4A90">
        <w:t>Despite the wealth of information available to us, one of the perpetual challenges of dispersed services is how to learn from each other and share ideas. Unfortunately for the time poor, the best method is still face-to-face discussion. The challenge is how to make this happen.</w:t>
      </w:r>
      <w:r>
        <w:t xml:space="preserve"> </w:t>
      </w:r>
    </w:p>
    <w:p w:rsidR="00BD5EC2" w:rsidRDefault="00BD5EC2" w:rsidP="00567282"/>
    <w:tbl>
      <w:tblPr>
        <w:tblStyle w:val="TableGrid"/>
        <w:tblW w:w="0" w:type="auto"/>
        <w:tblBorders>
          <w:top w:val="none" w:sz="0" w:space="0" w:color="auto"/>
          <w:left w:val="none" w:sz="0" w:space="0" w:color="auto"/>
          <w:bottom w:val="none" w:sz="0" w:space="0" w:color="auto"/>
          <w:right w:val="none" w:sz="0" w:space="0" w:color="auto"/>
          <w:insideH w:val="single" w:sz="4" w:space="0" w:color="718597"/>
          <w:insideV w:val="single" w:sz="4" w:space="0" w:color="718597"/>
        </w:tblBorders>
        <w:tblLook w:val="04A0" w:firstRow="1" w:lastRow="0" w:firstColumn="1" w:lastColumn="0" w:noHBand="0" w:noVBand="1"/>
      </w:tblPr>
      <w:tblGrid>
        <w:gridCol w:w="3080"/>
        <w:gridCol w:w="3081"/>
        <w:gridCol w:w="3081"/>
      </w:tblGrid>
      <w:tr w:rsidR="00BD5EC2" w:rsidRPr="00BF5C4F" w:rsidTr="00E55961">
        <w:tc>
          <w:tcPr>
            <w:tcW w:w="3080" w:type="dxa"/>
          </w:tcPr>
          <w:p w:rsidR="00BD5EC2" w:rsidRPr="00BF5C4F" w:rsidRDefault="00BD5EC2" w:rsidP="00E55961">
            <w:pPr>
              <w:rPr>
                <w:b/>
                <w:color w:val="808080" w:themeColor="background1" w:themeShade="80"/>
                <w:sz w:val="20"/>
              </w:rPr>
            </w:pPr>
            <w:r w:rsidRPr="00BF5C4F">
              <w:rPr>
                <w:b/>
                <w:color w:val="808080" w:themeColor="background1" w:themeShade="80"/>
                <w:sz w:val="20"/>
              </w:rPr>
              <w:t>Actions</w:t>
            </w:r>
          </w:p>
        </w:tc>
        <w:tc>
          <w:tcPr>
            <w:tcW w:w="3081" w:type="dxa"/>
          </w:tcPr>
          <w:p w:rsidR="00BD5EC2" w:rsidRPr="00BF5C4F" w:rsidRDefault="00BD5EC2" w:rsidP="00E55961">
            <w:pPr>
              <w:rPr>
                <w:b/>
                <w:color w:val="808080" w:themeColor="background1" w:themeShade="80"/>
                <w:sz w:val="20"/>
              </w:rPr>
            </w:pPr>
            <w:r w:rsidRPr="00BF5C4F">
              <w:rPr>
                <w:b/>
                <w:color w:val="808080" w:themeColor="background1" w:themeShade="80"/>
                <w:sz w:val="20"/>
              </w:rPr>
              <w:t>Responsibility</w:t>
            </w:r>
          </w:p>
        </w:tc>
        <w:tc>
          <w:tcPr>
            <w:tcW w:w="3081" w:type="dxa"/>
          </w:tcPr>
          <w:p w:rsidR="00BD5EC2" w:rsidRPr="00BF5C4F" w:rsidRDefault="00BD5EC2" w:rsidP="00E55961">
            <w:pPr>
              <w:rPr>
                <w:b/>
                <w:color w:val="808080" w:themeColor="background1" w:themeShade="80"/>
                <w:sz w:val="20"/>
              </w:rPr>
            </w:pPr>
            <w:r w:rsidRPr="00BF5C4F">
              <w:rPr>
                <w:b/>
                <w:color w:val="808080" w:themeColor="background1" w:themeShade="80"/>
                <w:sz w:val="20"/>
              </w:rPr>
              <w:t>Measurement</w:t>
            </w:r>
          </w:p>
        </w:tc>
      </w:tr>
      <w:tr w:rsidR="00BD5EC2" w:rsidRPr="002E0DC5" w:rsidTr="00E55961">
        <w:tc>
          <w:tcPr>
            <w:tcW w:w="3080" w:type="dxa"/>
          </w:tcPr>
          <w:p w:rsidR="00BD5EC2" w:rsidRPr="002E0DC5" w:rsidRDefault="00D21EB1" w:rsidP="00D21EB1">
            <w:pPr>
              <w:pStyle w:val="ListParagraph"/>
              <w:numPr>
                <w:ilvl w:val="0"/>
                <w:numId w:val="21"/>
              </w:numPr>
              <w:spacing w:before="60" w:after="60" w:line="240" w:lineRule="atLeast"/>
              <w:contextualSpacing w:val="0"/>
              <w:rPr>
                <w:color w:val="404040" w:themeColor="text1" w:themeTint="BF"/>
                <w:sz w:val="18"/>
              </w:rPr>
            </w:pPr>
            <w:r>
              <w:rPr>
                <w:color w:val="404040" w:themeColor="text1" w:themeTint="BF"/>
                <w:sz w:val="18"/>
              </w:rPr>
              <w:t>Use technology to facilitate improved communications.</w:t>
            </w:r>
          </w:p>
        </w:tc>
        <w:tc>
          <w:tcPr>
            <w:tcW w:w="3081" w:type="dxa"/>
          </w:tcPr>
          <w:p w:rsidR="00BD5EC2" w:rsidRDefault="00BD5EC2" w:rsidP="00D21EB1">
            <w:pPr>
              <w:spacing w:before="60" w:after="60" w:line="240" w:lineRule="atLeast"/>
              <w:rPr>
                <w:color w:val="404040" w:themeColor="text1" w:themeTint="BF"/>
                <w:sz w:val="18"/>
              </w:rPr>
            </w:pPr>
            <w:r>
              <w:rPr>
                <w:color w:val="404040" w:themeColor="text1" w:themeTint="BF"/>
                <w:sz w:val="18"/>
              </w:rPr>
              <w:t xml:space="preserve">PLS to set up/reinvigorate </w:t>
            </w:r>
            <w:r w:rsidR="00D21EB1">
              <w:rPr>
                <w:color w:val="404040" w:themeColor="text1" w:themeTint="BF"/>
                <w:sz w:val="18"/>
              </w:rPr>
              <w:t>new technologies.</w:t>
            </w:r>
          </w:p>
          <w:p w:rsidR="00D21EB1" w:rsidRPr="002E0DC5" w:rsidRDefault="00C20D83" w:rsidP="00D21EB1">
            <w:pPr>
              <w:spacing w:before="60" w:after="60" w:line="240" w:lineRule="atLeast"/>
              <w:rPr>
                <w:color w:val="404040" w:themeColor="text1" w:themeTint="BF"/>
                <w:sz w:val="18"/>
              </w:rPr>
            </w:pPr>
            <w:r>
              <w:rPr>
                <w:color w:val="404040" w:themeColor="text1" w:themeTint="BF"/>
                <w:sz w:val="18"/>
              </w:rPr>
              <w:t>Lead: Community Language Operating Committee supported by Public  Library Services</w:t>
            </w:r>
          </w:p>
        </w:tc>
        <w:tc>
          <w:tcPr>
            <w:tcW w:w="3081" w:type="dxa"/>
          </w:tcPr>
          <w:p w:rsidR="00BD5EC2" w:rsidRPr="002E0DC5" w:rsidRDefault="00990DB5" w:rsidP="00BD5EC2">
            <w:pPr>
              <w:spacing w:before="60" w:after="60" w:line="240" w:lineRule="atLeast"/>
              <w:rPr>
                <w:color w:val="404040" w:themeColor="text1" w:themeTint="BF"/>
                <w:sz w:val="18"/>
              </w:rPr>
            </w:pPr>
            <w:r>
              <w:rPr>
                <w:color w:val="404040" w:themeColor="text1" w:themeTint="BF"/>
                <w:sz w:val="18"/>
              </w:rPr>
              <w:t>Demonstrate use of differing technologies.</w:t>
            </w:r>
          </w:p>
        </w:tc>
      </w:tr>
      <w:tr w:rsidR="00BD5EC2" w:rsidRPr="002E0DC5" w:rsidTr="00E55961">
        <w:tc>
          <w:tcPr>
            <w:tcW w:w="3080" w:type="dxa"/>
          </w:tcPr>
          <w:p w:rsidR="00BD5EC2" w:rsidRDefault="00BD5EC2" w:rsidP="003E7169">
            <w:pPr>
              <w:pStyle w:val="ListParagraph"/>
              <w:numPr>
                <w:ilvl w:val="0"/>
                <w:numId w:val="21"/>
              </w:numPr>
              <w:spacing w:before="60" w:after="60" w:line="240" w:lineRule="atLeast"/>
              <w:contextualSpacing w:val="0"/>
              <w:rPr>
                <w:color w:val="404040" w:themeColor="text1" w:themeTint="BF"/>
                <w:sz w:val="18"/>
              </w:rPr>
            </w:pPr>
            <w:r>
              <w:rPr>
                <w:color w:val="404040" w:themeColor="text1" w:themeTint="BF"/>
                <w:sz w:val="18"/>
              </w:rPr>
              <w:t xml:space="preserve">Open invitations to Operating </w:t>
            </w:r>
            <w:r w:rsidR="003E7169">
              <w:rPr>
                <w:color w:val="404040" w:themeColor="text1" w:themeTint="BF"/>
                <w:sz w:val="18"/>
              </w:rPr>
              <w:t>Committee</w:t>
            </w:r>
            <w:r>
              <w:rPr>
                <w:color w:val="404040" w:themeColor="text1" w:themeTint="BF"/>
                <w:sz w:val="18"/>
              </w:rPr>
              <w:t xml:space="preserve"> meetings, with an opportunity for people to ask questions and discuss issues/ideas</w:t>
            </w:r>
            <w:r w:rsidR="00990DB5">
              <w:rPr>
                <w:color w:val="404040" w:themeColor="text1" w:themeTint="BF"/>
                <w:sz w:val="18"/>
              </w:rPr>
              <w:t>.</w:t>
            </w:r>
          </w:p>
        </w:tc>
        <w:tc>
          <w:tcPr>
            <w:tcW w:w="3081" w:type="dxa"/>
          </w:tcPr>
          <w:p w:rsidR="00BD5EC2" w:rsidRDefault="00C21706" w:rsidP="00BD5EC2">
            <w:pPr>
              <w:spacing w:before="60" w:after="60" w:line="240" w:lineRule="atLeast"/>
              <w:rPr>
                <w:color w:val="404040" w:themeColor="text1" w:themeTint="BF"/>
                <w:sz w:val="18"/>
              </w:rPr>
            </w:pPr>
            <w:r>
              <w:rPr>
                <w:color w:val="404040" w:themeColor="text1" w:themeTint="BF"/>
                <w:sz w:val="18"/>
              </w:rPr>
              <w:t>Extend broader invitations including using ask/clasa and ask/jula mailing lists.</w:t>
            </w:r>
          </w:p>
          <w:p w:rsidR="00990DB5" w:rsidRDefault="00990DB5" w:rsidP="00BD5EC2">
            <w:pPr>
              <w:spacing w:before="60" w:after="60" w:line="240" w:lineRule="atLeast"/>
              <w:rPr>
                <w:color w:val="404040" w:themeColor="text1" w:themeTint="BF"/>
                <w:sz w:val="18"/>
              </w:rPr>
            </w:pPr>
            <w:r>
              <w:rPr>
                <w:color w:val="404040" w:themeColor="text1" w:themeTint="BF"/>
                <w:sz w:val="18"/>
              </w:rPr>
              <w:t>Lead: Public Library Services</w:t>
            </w:r>
          </w:p>
        </w:tc>
        <w:tc>
          <w:tcPr>
            <w:tcW w:w="3081" w:type="dxa"/>
          </w:tcPr>
          <w:p w:rsidR="00BD5EC2" w:rsidRDefault="00990DB5" w:rsidP="00990DB5">
            <w:pPr>
              <w:spacing w:before="60" w:after="60" w:line="240" w:lineRule="atLeast"/>
              <w:rPr>
                <w:color w:val="404040" w:themeColor="text1" w:themeTint="BF"/>
                <w:sz w:val="18"/>
              </w:rPr>
            </w:pPr>
            <w:r>
              <w:rPr>
                <w:color w:val="404040" w:themeColor="text1" w:themeTint="BF"/>
                <w:sz w:val="18"/>
              </w:rPr>
              <w:t>Increased n</w:t>
            </w:r>
            <w:r w:rsidR="00BD5EC2">
              <w:rPr>
                <w:color w:val="404040" w:themeColor="text1" w:themeTint="BF"/>
                <w:sz w:val="18"/>
              </w:rPr>
              <w:t xml:space="preserve">umbers at Operating </w:t>
            </w:r>
            <w:r w:rsidR="003E7169">
              <w:rPr>
                <w:color w:val="404040" w:themeColor="text1" w:themeTint="BF"/>
                <w:sz w:val="18"/>
              </w:rPr>
              <w:t>Committee</w:t>
            </w:r>
            <w:r w:rsidR="00BD5EC2">
              <w:rPr>
                <w:color w:val="404040" w:themeColor="text1" w:themeTint="BF"/>
                <w:sz w:val="18"/>
              </w:rPr>
              <w:t xml:space="preserve"> meetings</w:t>
            </w:r>
            <w:r>
              <w:rPr>
                <w:color w:val="404040" w:themeColor="text1" w:themeTint="BF"/>
                <w:sz w:val="18"/>
              </w:rPr>
              <w:t>.</w:t>
            </w:r>
          </w:p>
        </w:tc>
      </w:tr>
    </w:tbl>
    <w:p w:rsidR="00175C6D" w:rsidRDefault="00175C6D" w:rsidP="00567282"/>
    <w:p w:rsidR="008A1891" w:rsidRDefault="008A1891" w:rsidP="00567282"/>
    <w:p w:rsidR="008A1891" w:rsidRDefault="008A1891">
      <w:pPr>
        <w:spacing w:before="0" w:after="0" w:line="240" w:lineRule="auto"/>
      </w:pPr>
      <w:r>
        <w:br w:type="page"/>
      </w:r>
    </w:p>
    <w:p w:rsidR="008A1891" w:rsidRDefault="008A1891" w:rsidP="008A1891">
      <w:pPr>
        <w:pStyle w:val="Heading2"/>
      </w:pPr>
      <w:bookmarkStart w:id="20" w:name="_Toc374595991"/>
      <w:r>
        <w:t>Strategic direction 5: Governance and measurement</w:t>
      </w:r>
      <w:bookmarkEnd w:id="20"/>
    </w:p>
    <w:p w:rsidR="008A1891" w:rsidRDefault="00EE43D6" w:rsidP="008A1891">
      <w:r>
        <w:t>The delivery of the Community Languages Strategy is a share</w:t>
      </w:r>
      <w:r w:rsidR="00CD5CA0">
        <w:t>d responsibility between Libraries (with the support of their Councils)</w:t>
      </w:r>
      <w:r>
        <w:t xml:space="preserve">, the Operating </w:t>
      </w:r>
      <w:r w:rsidR="00FD1BB3">
        <w:t>Committee</w:t>
      </w:r>
      <w:r>
        <w:t xml:space="preserve">, the Steering </w:t>
      </w:r>
      <w:r w:rsidR="00206DA6">
        <w:t>Committee</w:t>
      </w:r>
      <w:r>
        <w:t xml:space="preserve"> and PLS. </w:t>
      </w:r>
    </w:p>
    <w:p w:rsidR="00EE43D6" w:rsidRDefault="00EE43D6" w:rsidP="008A1891">
      <w:r>
        <w:t>The governance roles are as follows:</w:t>
      </w:r>
    </w:p>
    <w:p w:rsidR="00EE43D6" w:rsidRDefault="00EE43D6" w:rsidP="008A1891">
      <w:r>
        <w:t xml:space="preserve">Public Library Services: </w:t>
      </w:r>
    </w:p>
    <w:p w:rsidR="00EE43D6" w:rsidRDefault="00EE43D6" w:rsidP="00EE43D6">
      <w:pPr>
        <w:pStyle w:val="ListParagraph"/>
        <w:numPr>
          <w:ilvl w:val="0"/>
          <w:numId w:val="22"/>
        </w:numPr>
      </w:pPr>
      <w:r>
        <w:t xml:space="preserve">Convening key meetings (Steering </w:t>
      </w:r>
      <w:r w:rsidR="00206DA6">
        <w:t>Committee</w:t>
      </w:r>
      <w:r>
        <w:t xml:space="preserve"> annual review)</w:t>
      </w:r>
    </w:p>
    <w:p w:rsidR="00EE43D6" w:rsidRDefault="009B4141" w:rsidP="00EE43D6">
      <w:pPr>
        <w:pStyle w:val="ListParagraph"/>
        <w:numPr>
          <w:ilvl w:val="0"/>
          <w:numId w:val="22"/>
        </w:numPr>
      </w:pPr>
      <w:r>
        <w:t>Convening and p</w:t>
      </w:r>
      <w:r w:rsidR="00EE43D6">
        <w:t xml:space="preserve">roviding support to the </w:t>
      </w:r>
      <w:r w:rsidR="00FD1BB3">
        <w:t>Operating Committee</w:t>
      </w:r>
    </w:p>
    <w:p w:rsidR="00EE43D6" w:rsidRDefault="00EE43D6" w:rsidP="00EE43D6">
      <w:pPr>
        <w:pStyle w:val="ListParagraph"/>
        <w:numPr>
          <w:ilvl w:val="0"/>
          <w:numId w:val="22"/>
        </w:numPr>
      </w:pPr>
      <w:r>
        <w:t>Facilitating Working Groups to achieve specific outcomes (e.g. Key Person Network)</w:t>
      </w:r>
    </w:p>
    <w:p w:rsidR="00EE43D6" w:rsidRDefault="00EE43D6" w:rsidP="00EE43D6">
      <w:pPr>
        <w:pStyle w:val="ListParagraph"/>
        <w:numPr>
          <w:ilvl w:val="0"/>
          <w:numId w:val="22"/>
        </w:numPr>
      </w:pPr>
      <w:r>
        <w:t>Establishing and maintaining partnerships with external agencies/groups such as the Australian Bureau of Statistics, the Migrant Resource Centre</w:t>
      </w:r>
      <w:r w:rsidR="009B4141">
        <w:t>, Multicultural SA, StudyAdelaide</w:t>
      </w:r>
      <w:r>
        <w:t xml:space="preserve"> and the Australian Refugee Association</w:t>
      </w:r>
    </w:p>
    <w:p w:rsidR="00984BBF" w:rsidRDefault="00984BBF" w:rsidP="00984BBF">
      <w:r>
        <w:t>Steering Committee:</w:t>
      </w:r>
    </w:p>
    <w:p w:rsidR="00987589" w:rsidRDefault="00987589" w:rsidP="00984BBF">
      <w:pPr>
        <w:pStyle w:val="ListParagraph"/>
        <w:numPr>
          <w:ilvl w:val="0"/>
          <w:numId w:val="23"/>
        </w:numPr>
      </w:pPr>
      <w:r>
        <w:t xml:space="preserve">Champion the implementation of the </w:t>
      </w:r>
      <w:r w:rsidR="009B4141">
        <w:t xml:space="preserve">Community Language </w:t>
      </w:r>
      <w:r>
        <w:t>Strategic Plan</w:t>
      </w:r>
    </w:p>
    <w:p w:rsidR="00984BBF" w:rsidRDefault="00987589" w:rsidP="00984BBF">
      <w:pPr>
        <w:pStyle w:val="ListParagraph"/>
        <w:numPr>
          <w:ilvl w:val="0"/>
          <w:numId w:val="23"/>
        </w:numPr>
      </w:pPr>
      <w:r>
        <w:t>Undertake an an</w:t>
      </w:r>
      <w:r w:rsidR="00984BBF">
        <w:t xml:space="preserve">nual review of the </w:t>
      </w:r>
      <w:r w:rsidR="009B4141">
        <w:t xml:space="preserve">Community Language </w:t>
      </w:r>
      <w:r w:rsidR="00984BBF">
        <w:t>Strategic Plan, setting strategy for the coming year</w:t>
      </w:r>
    </w:p>
    <w:p w:rsidR="00984BBF" w:rsidRDefault="00984BBF" w:rsidP="00984BBF">
      <w:pPr>
        <w:pStyle w:val="ListParagraph"/>
        <w:numPr>
          <w:ilvl w:val="0"/>
          <w:numId w:val="23"/>
        </w:numPr>
      </w:pPr>
      <w:r>
        <w:t xml:space="preserve">Delivering key strategies as </w:t>
      </w:r>
      <w:r w:rsidR="005F665D">
        <w:t xml:space="preserve">outlined in the Plan </w:t>
      </w:r>
    </w:p>
    <w:p w:rsidR="005F665D" w:rsidRDefault="005F665D" w:rsidP="00984BBF">
      <w:pPr>
        <w:pStyle w:val="ListParagraph"/>
        <w:numPr>
          <w:ilvl w:val="0"/>
          <w:numId w:val="23"/>
        </w:numPr>
      </w:pPr>
      <w:r>
        <w:t>Encouraging collaboration and information sharing to improve Community Languages services</w:t>
      </w:r>
    </w:p>
    <w:p w:rsidR="009B4141" w:rsidRDefault="009B4141" w:rsidP="00984BBF">
      <w:pPr>
        <w:pStyle w:val="ListParagraph"/>
        <w:numPr>
          <w:ilvl w:val="0"/>
          <w:numId w:val="23"/>
        </w:numPr>
      </w:pPr>
      <w:r>
        <w:t>Annual review of the Terms of Reference for Community Language Steering Committee</w:t>
      </w:r>
    </w:p>
    <w:p w:rsidR="009B4141" w:rsidRDefault="009B4141" w:rsidP="00984BBF">
      <w:pPr>
        <w:pStyle w:val="ListParagraph"/>
        <w:numPr>
          <w:ilvl w:val="0"/>
          <w:numId w:val="23"/>
        </w:numPr>
      </w:pPr>
      <w:r>
        <w:t>Annual review of the Terms of Reference for Community Language Operating Committee</w:t>
      </w:r>
    </w:p>
    <w:p w:rsidR="00CB4A90" w:rsidRDefault="00CB4A90" w:rsidP="00984BBF">
      <w:pPr>
        <w:pStyle w:val="ListParagraph"/>
        <w:numPr>
          <w:ilvl w:val="0"/>
          <w:numId w:val="23"/>
        </w:numPr>
      </w:pPr>
      <w:r>
        <w:t>Annual review of the Community Language Collection Development Policy</w:t>
      </w:r>
    </w:p>
    <w:p w:rsidR="00CB4A90" w:rsidRDefault="00CB4A90" w:rsidP="00984BBF">
      <w:pPr>
        <w:pStyle w:val="ListParagraph"/>
        <w:numPr>
          <w:ilvl w:val="0"/>
          <w:numId w:val="23"/>
        </w:numPr>
      </w:pPr>
      <w:r>
        <w:t>Annual review of the Community Language Collection Development Procedures</w:t>
      </w:r>
    </w:p>
    <w:p w:rsidR="00C650BC" w:rsidRDefault="00C650BC" w:rsidP="00C650BC">
      <w:r>
        <w:t>Operating Committee:</w:t>
      </w:r>
    </w:p>
    <w:p w:rsidR="00A1116D" w:rsidRPr="008A1891" w:rsidRDefault="00A1116D" w:rsidP="00A1116D">
      <w:pPr>
        <w:pStyle w:val="ListParagraph"/>
        <w:numPr>
          <w:ilvl w:val="0"/>
          <w:numId w:val="24"/>
        </w:numPr>
      </w:pPr>
      <w:r>
        <w:t>Meet quarterly</w:t>
      </w:r>
    </w:p>
    <w:p w:rsidR="002264B0" w:rsidRDefault="002264B0" w:rsidP="002264B0">
      <w:pPr>
        <w:pStyle w:val="ListParagraph"/>
        <w:numPr>
          <w:ilvl w:val="0"/>
          <w:numId w:val="24"/>
        </w:numPr>
      </w:pPr>
      <w:r>
        <w:t xml:space="preserve">Maintaining communication </w:t>
      </w:r>
      <w:r w:rsidR="00396C83">
        <w:t xml:space="preserve">and building capacity </w:t>
      </w:r>
      <w:r>
        <w:t>across the network</w:t>
      </w:r>
    </w:p>
    <w:p w:rsidR="002264B0" w:rsidRDefault="002264B0" w:rsidP="002264B0">
      <w:pPr>
        <w:pStyle w:val="ListParagraph"/>
        <w:numPr>
          <w:ilvl w:val="0"/>
          <w:numId w:val="24"/>
        </w:numPr>
      </w:pPr>
      <w:r>
        <w:t>Managing collections (in the short term)</w:t>
      </w:r>
    </w:p>
    <w:p w:rsidR="002264B0" w:rsidRDefault="002264B0" w:rsidP="002264B0">
      <w:pPr>
        <w:pStyle w:val="ListParagraph"/>
        <w:numPr>
          <w:ilvl w:val="0"/>
          <w:numId w:val="24"/>
        </w:numPr>
      </w:pPr>
      <w:r>
        <w:t>Ensuring data is collected, analysed, interpreted and distributed across the network</w:t>
      </w:r>
    </w:p>
    <w:p w:rsidR="00843A3B" w:rsidRDefault="00843A3B" w:rsidP="002264B0">
      <w:pPr>
        <w:pStyle w:val="ListParagraph"/>
        <w:numPr>
          <w:ilvl w:val="0"/>
          <w:numId w:val="24"/>
        </w:numPr>
      </w:pPr>
      <w:r>
        <w:t>Convening and co-opting membership of Working Groups as needed</w:t>
      </w:r>
    </w:p>
    <w:p w:rsidR="008A1891" w:rsidRDefault="008A1891" w:rsidP="00567282"/>
    <w:p w:rsidR="00987589" w:rsidRDefault="00B4042C" w:rsidP="00567282">
      <w:r>
        <w:t>Specific responsibilities and associated measures</w:t>
      </w:r>
      <w:r w:rsidR="00987589">
        <w:t xml:space="preserve"> have been set out in the Action Tables under each Strategy.</w:t>
      </w:r>
    </w:p>
    <w:p w:rsidR="00567282" w:rsidRDefault="00567282" w:rsidP="00567282"/>
    <w:p w:rsidR="003505BF" w:rsidRDefault="003505BF" w:rsidP="004D4BEA">
      <w:pPr>
        <w:pStyle w:val="Heading1"/>
      </w:pPr>
      <w:r>
        <w:br w:type="page"/>
      </w:r>
    </w:p>
    <w:p w:rsidR="001D6BF6" w:rsidRDefault="00F36C29" w:rsidP="002E7F14">
      <w:pPr>
        <w:pStyle w:val="Heading1"/>
      </w:pPr>
      <w:bookmarkStart w:id="21" w:name="_Toc374595992"/>
      <w:r>
        <w:t>Appendices</w:t>
      </w:r>
      <w:bookmarkEnd w:id="21"/>
    </w:p>
    <w:p w:rsidR="006E31F3" w:rsidRDefault="004C2D44" w:rsidP="004C2D44">
      <w:pPr>
        <w:pStyle w:val="Heading2"/>
      </w:pPr>
      <w:bookmarkStart w:id="22" w:name="_Toc374595993"/>
      <w:r>
        <w:t xml:space="preserve">A: </w:t>
      </w:r>
      <w:r>
        <w:tab/>
        <w:t>Workshop participants</w:t>
      </w:r>
      <w:bookmarkEnd w:id="22"/>
    </w:p>
    <w:tbl>
      <w:tblPr>
        <w:tblpPr w:leftFromText="180" w:rightFromText="180" w:vertAnchor="text" w:horzAnchor="page" w:tblpX="2076" w:tblpY="352"/>
        <w:tblW w:w="0" w:type="auto"/>
        <w:tblCellMar>
          <w:left w:w="0" w:type="dxa"/>
          <w:right w:w="0" w:type="dxa"/>
        </w:tblCellMar>
        <w:tblLook w:val="04A0" w:firstRow="1" w:lastRow="0" w:firstColumn="1" w:lastColumn="0" w:noHBand="0" w:noVBand="1"/>
      </w:tblPr>
      <w:tblGrid>
        <w:gridCol w:w="3040"/>
        <w:gridCol w:w="3885"/>
      </w:tblGrid>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 xml:space="preserve">Nadia </w:t>
            </w:r>
            <w:proofErr w:type="spellStart"/>
            <w:r w:rsidRPr="006E31F3">
              <w:t>Makdadi</w:t>
            </w:r>
            <w:proofErr w:type="spellEnd"/>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Migrant Resource Centre</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 xml:space="preserve">Andrew </w:t>
            </w:r>
            <w:proofErr w:type="spellStart"/>
            <w:r w:rsidRPr="006E31F3">
              <w:t>Stidson</w:t>
            </w:r>
            <w:proofErr w:type="spellEnd"/>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Australian Bureau of Statistics</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Teresa Brook</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PLS</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Jon Bentick</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PLS</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Tricia Knightly</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PLS</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Chris Kennedy</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PLS</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Caroline Bates</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Norwood Payneham &amp; St Peters</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Chris Holles</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Charles Sturt</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Ola Wleklinski</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Marion</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proofErr w:type="spellStart"/>
            <w:r w:rsidRPr="006E31F3">
              <w:t>Mutsuko</w:t>
            </w:r>
            <w:proofErr w:type="spellEnd"/>
            <w:r w:rsidRPr="006E31F3">
              <w:t xml:space="preserve"> </w:t>
            </w:r>
            <w:proofErr w:type="spellStart"/>
            <w:r w:rsidRPr="006E31F3">
              <w:t>Harnett</w:t>
            </w:r>
            <w:proofErr w:type="spellEnd"/>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Holdfast Bay</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Alex Nemeth</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Holdfast Bay</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Lynn Spurling</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Copper Coast Library - Kadina</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Dee O'Loughlin</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Adelaide Hills</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Helen Walkden</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City of Onkaparinga</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Joy Smith</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Burnside</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Catherine Stephens</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Unley Libraries</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Tina Zollo</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Campbelltown Public Library</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Anne Pascoe</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West Torrens</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Janice Curtis</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 xml:space="preserve">Port Adelaide Enfield </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Bill Roche</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Port Adelaide Enfield</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Suzanne Kennedy</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City of Norwood Payneham &amp; St Peters</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 xml:space="preserve">Shirley </w:t>
            </w:r>
            <w:proofErr w:type="spellStart"/>
            <w:r w:rsidRPr="006E31F3">
              <w:t>Keeffe</w:t>
            </w:r>
            <w:proofErr w:type="spellEnd"/>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Port Adelaide Enfield Library Services</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Wendy Stacey</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Marion Library Service</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Pauline Stephens</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Marion Library Service</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Wendy Abraham</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Salisbury Library Service</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Bernice McSwain</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Salisbury</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Joy Clark</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NPSP</w:t>
            </w:r>
          </w:p>
        </w:tc>
      </w:tr>
      <w:tr w:rsidR="006E31F3" w:rsidRPr="006E31F3" w:rsidTr="006E31F3">
        <w:trPr>
          <w:trHeight w:val="113"/>
        </w:trPr>
        <w:tc>
          <w:tcPr>
            <w:tcW w:w="3040" w:type="dxa"/>
            <w:noWrap/>
            <w:tcMar>
              <w:top w:w="0" w:type="dxa"/>
              <w:left w:w="108" w:type="dxa"/>
              <w:bottom w:w="0" w:type="dxa"/>
              <w:right w:w="108" w:type="dxa"/>
            </w:tcMar>
            <w:hideMark/>
          </w:tcPr>
          <w:p w:rsidR="006E31F3" w:rsidRPr="006E31F3" w:rsidRDefault="006E31F3" w:rsidP="006E31F3">
            <w:pPr>
              <w:spacing w:before="20" w:line="240" w:lineRule="exact"/>
            </w:pPr>
            <w:r w:rsidRPr="006E31F3">
              <w:t>Katherine Hajdu</w:t>
            </w:r>
          </w:p>
        </w:tc>
        <w:tc>
          <w:tcPr>
            <w:tcW w:w="3885" w:type="dxa"/>
            <w:noWrap/>
            <w:tcMar>
              <w:top w:w="0" w:type="dxa"/>
              <w:left w:w="108" w:type="dxa"/>
              <w:bottom w:w="0" w:type="dxa"/>
              <w:right w:w="108" w:type="dxa"/>
            </w:tcMar>
            <w:hideMark/>
          </w:tcPr>
          <w:p w:rsidR="006E31F3" w:rsidRPr="006E31F3" w:rsidRDefault="006E31F3" w:rsidP="006E31F3">
            <w:pPr>
              <w:spacing w:before="20" w:line="240" w:lineRule="exact"/>
            </w:pPr>
            <w:r w:rsidRPr="006E31F3">
              <w:t>Salisbury Library Service</w:t>
            </w:r>
          </w:p>
        </w:tc>
      </w:tr>
    </w:tbl>
    <w:p w:rsidR="006E31F3" w:rsidRPr="006E31F3" w:rsidRDefault="006E31F3" w:rsidP="006E31F3"/>
    <w:p w:rsidR="006E31F3" w:rsidRDefault="006E31F3" w:rsidP="006E31F3"/>
    <w:p w:rsidR="004C2D44" w:rsidRDefault="004C2D44" w:rsidP="004C2D44">
      <w:pPr>
        <w:pStyle w:val="Heading2"/>
      </w:pPr>
      <w:r>
        <w:br w:type="page"/>
      </w:r>
    </w:p>
    <w:p w:rsidR="00F36C29" w:rsidRDefault="004C2D44" w:rsidP="00F36C29">
      <w:pPr>
        <w:pStyle w:val="Heading2"/>
      </w:pPr>
      <w:bookmarkStart w:id="23" w:name="_Toc374595994"/>
      <w:r>
        <w:t>B</w:t>
      </w:r>
      <w:r w:rsidR="00F36C29">
        <w:t xml:space="preserve">: </w:t>
      </w:r>
      <w:r w:rsidR="00604A62">
        <w:tab/>
      </w:r>
      <w:r w:rsidR="00F36C29">
        <w:t>Comparison of languages spoken with borrowings</w:t>
      </w:r>
      <w:bookmarkEnd w:id="23"/>
    </w:p>
    <w:p w:rsidR="00B0289E" w:rsidRPr="00B0289E" w:rsidRDefault="007B4848" w:rsidP="00B0289E">
      <w:r>
        <w:rPr>
          <w:noProof/>
          <w:lang w:eastAsia="en-AU"/>
        </w:rPr>
        <w:drawing>
          <wp:anchor distT="0" distB="0" distL="114300" distR="114300" simplePos="0" relativeHeight="251664384" behindDoc="0" locked="0" layoutInCell="1" allowOverlap="1" wp14:anchorId="145B0FDD" wp14:editId="047C5553">
            <wp:simplePos x="0" y="0"/>
            <wp:positionH relativeFrom="column">
              <wp:posOffset>327058</wp:posOffset>
            </wp:positionH>
            <wp:positionV relativeFrom="paragraph">
              <wp:posOffset>130842</wp:posOffset>
            </wp:positionV>
            <wp:extent cx="5245969" cy="7580037"/>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245621" cy="7579535"/>
                    </a:xfrm>
                    <a:prstGeom prst="rect">
                      <a:avLst/>
                    </a:prstGeom>
                    <a:noFill/>
                    <a:ln w="9525">
                      <a:noFill/>
                      <a:miter lim="800000"/>
                      <a:headEnd/>
                      <a:tailEnd/>
                    </a:ln>
                  </pic:spPr>
                </pic:pic>
              </a:graphicData>
            </a:graphic>
          </wp:anchor>
        </w:drawing>
      </w:r>
    </w:p>
    <w:p w:rsidR="002C7195" w:rsidRDefault="002C7195">
      <w:pPr>
        <w:spacing w:before="0" w:after="0" w:line="240" w:lineRule="auto"/>
        <w:rPr>
          <w:rFonts w:asciiTheme="majorHAnsi" w:eastAsiaTheme="majorEastAsia" w:hAnsiTheme="majorHAnsi" w:cstheme="majorBidi"/>
          <w:color w:val="244061" w:themeColor="accent1" w:themeShade="80"/>
          <w:sz w:val="26"/>
          <w:szCs w:val="26"/>
        </w:rPr>
      </w:pPr>
      <w:r>
        <w:br w:type="page"/>
      </w:r>
    </w:p>
    <w:p w:rsidR="00F36C29" w:rsidRDefault="004C2D44" w:rsidP="0033742D">
      <w:pPr>
        <w:pStyle w:val="Heading2"/>
      </w:pPr>
      <w:bookmarkStart w:id="24" w:name="_Toc374595995"/>
      <w:r>
        <w:t>C</w:t>
      </w:r>
      <w:r w:rsidR="003B1BDA">
        <w:t xml:space="preserve">: </w:t>
      </w:r>
      <w:r w:rsidR="00604A62">
        <w:tab/>
      </w:r>
      <w:r w:rsidR="008540AB">
        <w:t>Total LOTE</w:t>
      </w:r>
      <w:r w:rsidR="003B1BDA">
        <w:t xml:space="preserve"> borrowings per </w:t>
      </w:r>
      <w:r w:rsidR="00641402">
        <w:t>Council</w:t>
      </w:r>
      <w:r w:rsidR="008540AB">
        <w:t>, 2011-2012</w:t>
      </w:r>
      <w:bookmarkEnd w:id="24"/>
    </w:p>
    <w:p w:rsidR="008540AB" w:rsidRDefault="008540AB" w:rsidP="008540AB">
      <w:r>
        <w:tab/>
        <w:t>Languages other than English</w:t>
      </w:r>
      <w:r w:rsidR="00641402">
        <w:t xml:space="preserve"> (LOTE)</w:t>
      </w:r>
      <w:r>
        <w:br/>
      </w:r>
    </w:p>
    <w:p w:rsidR="008540AB" w:rsidRPr="008540AB" w:rsidRDefault="008540AB" w:rsidP="008540AB"/>
    <w:p w:rsidR="008540AB" w:rsidRPr="008540AB" w:rsidRDefault="00641402" w:rsidP="006C2B1F">
      <w:pPr>
        <w:tabs>
          <w:tab w:val="left" w:pos="5245"/>
        </w:tabs>
        <w:ind w:left="1134"/>
        <w:rPr>
          <w:b/>
        </w:rPr>
      </w:pPr>
      <w:r>
        <w:rPr>
          <w:b/>
        </w:rPr>
        <w:t>Council Area</w:t>
      </w:r>
      <w:r w:rsidR="008540AB" w:rsidRPr="008540AB">
        <w:rPr>
          <w:b/>
        </w:rPr>
        <w:tab/>
        <w:t>LOTE loans 2011-12</w:t>
      </w:r>
    </w:p>
    <w:p w:rsidR="008540AB" w:rsidRPr="008540AB" w:rsidRDefault="008540AB" w:rsidP="006C2B1F">
      <w:pPr>
        <w:tabs>
          <w:tab w:val="right" w:pos="6804"/>
        </w:tabs>
        <w:spacing w:before="40" w:after="40"/>
        <w:ind w:left="1134"/>
      </w:pPr>
      <w:r w:rsidRPr="008540AB">
        <w:t>Charles Sturt</w:t>
      </w:r>
      <w:r w:rsidRPr="008540AB">
        <w:tab/>
        <w:t>181,721</w:t>
      </w:r>
    </w:p>
    <w:p w:rsidR="008540AB" w:rsidRPr="008540AB" w:rsidRDefault="008540AB" w:rsidP="006C2B1F">
      <w:pPr>
        <w:tabs>
          <w:tab w:val="right" w:pos="6804"/>
        </w:tabs>
        <w:spacing w:before="40" w:after="40"/>
        <w:ind w:left="1134"/>
      </w:pPr>
      <w:r w:rsidRPr="008540AB">
        <w:t>Salisbury</w:t>
      </w:r>
      <w:r w:rsidRPr="008540AB">
        <w:tab/>
        <w:t>63,790</w:t>
      </w:r>
    </w:p>
    <w:p w:rsidR="008540AB" w:rsidRPr="008540AB" w:rsidRDefault="008540AB" w:rsidP="006C2B1F">
      <w:pPr>
        <w:tabs>
          <w:tab w:val="right" w:pos="6804"/>
        </w:tabs>
        <w:spacing w:before="40" w:after="40"/>
        <w:ind w:left="1134"/>
      </w:pPr>
      <w:r w:rsidRPr="008540AB">
        <w:t>Port Adelaide Enfield</w:t>
      </w:r>
      <w:r w:rsidRPr="008540AB">
        <w:tab/>
        <w:t>37,908</w:t>
      </w:r>
    </w:p>
    <w:p w:rsidR="008540AB" w:rsidRPr="008540AB" w:rsidRDefault="008540AB" w:rsidP="006C2B1F">
      <w:pPr>
        <w:tabs>
          <w:tab w:val="right" w:pos="6804"/>
        </w:tabs>
        <w:spacing w:before="40" w:after="40"/>
        <w:ind w:left="1134"/>
      </w:pPr>
      <w:r w:rsidRPr="008540AB">
        <w:t>Campbelltown</w:t>
      </w:r>
      <w:r w:rsidRPr="008540AB">
        <w:tab/>
        <w:t>23,426</w:t>
      </w:r>
    </w:p>
    <w:p w:rsidR="008540AB" w:rsidRPr="008540AB" w:rsidRDefault="008540AB" w:rsidP="006C2B1F">
      <w:pPr>
        <w:tabs>
          <w:tab w:val="right" w:pos="6804"/>
        </w:tabs>
        <w:spacing w:before="40" w:after="40"/>
        <w:ind w:left="1134"/>
      </w:pPr>
      <w:r w:rsidRPr="008540AB">
        <w:t>Burnside</w:t>
      </w:r>
      <w:r w:rsidRPr="008540AB">
        <w:tab/>
        <w:t>15,118</w:t>
      </w:r>
    </w:p>
    <w:p w:rsidR="008540AB" w:rsidRPr="008540AB" w:rsidRDefault="008540AB" w:rsidP="006C2B1F">
      <w:pPr>
        <w:tabs>
          <w:tab w:val="right" w:pos="6804"/>
        </w:tabs>
        <w:spacing w:before="40" w:after="40"/>
        <w:ind w:left="1134"/>
      </w:pPr>
      <w:r w:rsidRPr="008540AB">
        <w:t>Adelaide City</w:t>
      </w:r>
      <w:r w:rsidRPr="008540AB">
        <w:tab/>
        <w:t>14,001</w:t>
      </w:r>
    </w:p>
    <w:p w:rsidR="008540AB" w:rsidRPr="008540AB" w:rsidRDefault="008540AB" w:rsidP="006C2B1F">
      <w:pPr>
        <w:tabs>
          <w:tab w:val="right" w:pos="6804"/>
        </w:tabs>
        <w:spacing w:before="40" w:after="40"/>
        <w:ind w:left="1134"/>
      </w:pPr>
      <w:r w:rsidRPr="008540AB">
        <w:t>West Torrens</w:t>
      </w:r>
      <w:r w:rsidRPr="008540AB">
        <w:tab/>
        <w:t>11,720</w:t>
      </w:r>
    </w:p>
    <w:p w:rsidR="008540AB" w:rsidRPr="008540AB" w:rsidRDefault="008540AB" w:rsidP="006C2B1F">
      <w:pPr>
        <w:tabs>
          <w:tab w:val="right" w:pos="6804"/>
        </w:tabs>
        <w:spacing w:before="40" w:after="40"/>
        <w:ind w:left="1134"/>
      </w:pPr>
      <w:r w:rsidRPr="008540AB">
        <w:t>Norwood, Payneham, St Peters</w:t>
      </w:r>
      <w:r w:rsidRPr="008540AB">
        <w:tab/>
        <w:t>11,093</w:t>
      </w:r>
    </w:p>
    <w:p w:rsidR="008540AB" w:rsidRPr="008540AB" w:rsidRDefault="008540AB" w:rsidP="006C2B1F">
      <w:pPr>
        <w:tabs>
          <w:tab w:val="right" w:pos="6804"/>
        </w:tabs>
        <w:spacing w:before="40" w:after="40"/>
        <w:ind w:left="1134"/>
      </w:pPr>
      <w:r w:rsidRPr="008540AB">
        <w:t>Unley</w:t>
      </w:r>
      <w:r w:rsidRPr="008540AB">
        <w:tab/>
        <w:t>8,622</w:t>
      </w:r>
    </w:p>
    <w:p w:rsidR="008540AB" w:rsidRPr="008540AB" w:rsidRDefault="008540AB" w:rsidP="006C2B1F">
      <w:pPr>
        <w:tabs>
          <w:tab w:val="right" w:pos="6804"/>
        </w:tabs>
        <w:spacing w:before="40" w:after="40"/>
        <w:ind w:left="1134"/>
      </w:pPr>
      <w:r w:rsidRPr="008540AB">
        <w:t>Marion</w:t>
      </w:r>
      <w:r w:rsidRPr="008540AB">
        <w:tab/>
        <w:t>3,285</w:t>
      </w:r>
    </w:p>
    <w:p w:rsidR="008540AB" w:rsidRPr="008540AB" w:rsidRDefault="008540AB" w:rsidP="006C2B1F">
      <w:pPr>
        <w:tabs>
          <w:tab w:val="right" w:pos="6804"/>
        </w:tabs>
        <w:spacing w:before="40" w:after="40"/>
        <w:ind w:left="1134"/>
      </w:pPr>
      <w:r w:rsidRPr="008540AB">
        <w:t>Prospect</w:t>
      </w:r>
      <w:r w:rsidRPr="008540AB">
        <w:tab/>
        <w:t>3,096</w:t>
      </w:r>
    </w:p>
    <w:p w:rsidR="008540AB" w:rsidRPr="008540AB" w:rsidRDefault="008540AB" w:rsidP="006C2B1F">
      <w:pPr>
        <w:tabs>
          <w:tab w:val="right" w:pos="6804"/>
        </w:tabs>
        <w:spacing w:before="40" w:after="40"/>
        <w:ind w:left="1134"/>
      </w:pPr>
      <w:r w:rsidRPr="008540AB">
        <w:t>Onkaparinga</w:t>
      </w:r>
      <w:r w:rsidRPr="008540AB">
        <w:tab/>
        <w:t>790</w:t>
      </w:r>
    </w:p>
    <w:p w:rsidR="008540AB" w:rsidRPr="008540AB" w:rsidRDefault="008540AB" w:rsidP="006C2B1F">
      <w:pPr>
        <w:tabs>
          <w:tab w:val="right" w:pos="6804"/>
        </w:tabs>
        <w:spacing w:before="40" w:after="40"/>
        <w:ind w:left="1134"/>
      </w:pPr>
      <w:r w:rsidRPr="008540AB">
        <w:t>Adelaide Hills</w:t>
      </w:r>
      <w:r w:rsidRPr="008540AB">
        <w:tab/>
        <w:t>550</w:t>
      </w:r>
    </w:p>
    <w:p w:rsidR="008540AB" w:rsidRPr="008540AB" w:rsidRDefault="008540AB" w:rsidP="006C2B1F">
      <w:pPr>
        <w:tabs>
          <w:tab w:val="right" w:pos="6804"/>
        </w:tabs>
        <w:spacing w:before="40" w:after="40"/>
        <w:ind w:left="1134"/>
      </w:pPr>
      <w:r w:rsidRPr="008540AB">
        <w:t>Renmark &amp; Paringa</w:t>
      </w:r>
      <w:r w:rsidRPr="008540AB">
        <w:tab/>
        <w:t>446</w:t>
      </w:r>
    </w:p>
    <w:p w:rsidR="008540AB" w:rsidRPr="008540AB" w:rsidRDefault="008540AB" w:rsidP="006C2B1F">
      <w:pPr>
        <w:tabs>
          <w:tab w:val="right" w:pos="6804"/>
        </w:tabs>
        <w:spacing w:before="40" w:after="40"/>
        <w:ind w:left="1134"/>
      </w:pPr>
      <w:r w:rsidRPr="008540AB">
        <w:t>Port Pirie</w:t>
      </w:r>
      <w:r w:rsidRPr="008540AB">
        <w:tab/>
        <w:t>366</w:t>
      </w:r>
    </w:p>
    <w:p w:rsidR="008540AB" w:rsidRPr="008540AB" w:rsidRDefault="008540AB" w:rsidP="006C2B1F">
      <w:pPr>
        <w:tabs>
          <w:tab w:val="right" w:pos="6804"/>
        </w:tabs>
        <w:spacing w:before="40" w:after="40"/>
        <w:ind w:left="1134"/>
      </w:pPr>
      <w:r w:rsidRPr="008540AB">
        <w:t>Mount Gambier</w:t>
      </w:r>
      <w:r w:rsidRPr="008540AB">
        <w:tab/>
        <w:t>301</w:t>
      </w:r>
    </w:p>
    <w:p w:rsidR="008540AB" w:rsidRPr="008540AB" w:rsidRDefault="008540AB" w:rsidP="006C2B1F">
      <w:pPr>
        <w:tabs>
          <w:tab w:val="right" w:pos="6804"/>
        </w:tabs>
        <w:spacing w:before="40" w:after="40"/>
        <w:ind w:left="1134"/>
      </w:pPr>
      <w:r w:rsidRPr="008540AB">
        <w:t>Alexandrina</w:t>
      </w:r>
      <w:r w:rsidRPr="008540AB">
        <w:tab/>
        <w:t>268</w:t>
      </w:r>
    </w:p>
    <w:p w:rsidR="008540AB" w:rsidRPr="008540AB" w:rsidRDefault="008540AB" w:rsidP="006C2B1F">
      <w:pPr>
        <w:tabs>
          <w:tab w:val="right" w:pos="6804"/>
        </w:tabs>
        <w:spacing w:before="40" w:after="40"/>
        <w:ind w:left="1134"/>
      </w:pPr>
      <w:r w:rsidRPr="008540AB">
        <w:t>Victor Harbor</w:t>
      </w:r>
      <w:r w:rsidRPr="008540AB">
        <w:tab/>
        <w:t>220</w:t>
      </w:r>
    </w:p>
    <w:p w:rsidR="008540AB" w:rsidRPr="008540AB" w:rsidRDefault="008540AB" w:rsidP="006C2B1F">
      <w:pPr>
        <w:tabs>
          <w:tab w:val="right" w:pos="6804"/>
        </w:tabs>
        <w:spacing w:before="40" w:after="40"/>
        <w:ind w:left="1134"/>
      </w:pPr>
      <w:r w:rsidRPr="008540AB">
        <w:t>Barossa</w:t>
      </w:r>
      <w:r w:rsidRPr="008540AB">
        <w:tab/>
        <w:t>205</w:t>
      </w:r>
    </w:p>
    <w:p w:rsidR="008540AB" w:rsidRPr="008540AB" w:rsidRDefault="008540AB" w:rsidP="006C2B1F">
      <w:pPr>
        <w:tabs>
          <w:tab w:val="right" w:pos="6804"/>
        </w:tabs>
        <w:spacing w:before="40" w:after="40"/>
        <w:ind w:left="1134"/>
      </w:pPr>
      <w:r w:rsidRPr="008540AB">
        <w:t>Port Lincoln</w:t>
      </w:r>
      <w:r w:rsidRPr="008540AB">
        <w:tab/>
        <w:t>118</w:t>
      </w:r>
    </w:p>
    <w:p w:rsidR="008540AB" w:rsidRPr="008540AB" w:rsidRDefault="008540AB" w:rsidP="006C2B1F">
      <w:pPr>
        <w:tabs>
          <w:tab w:val="right" w:pos="6804"/>
        </w:tabs>
        <w:spacing w:before="40" w:after="40"/>
        <w:ind w:left="1134"/>
      </w:pPr>
      <w:r w:rsidRPr="008540AB">
        <w:t>Barmera</w:t>
      </w:r>
      <w:r w:rsidRPr="008540AB">
        <w:tab/>
        <w:t>81</w:t>
      </w:r>
    </w:p>
    <w:p w:rsidR="008540AB" w:rsidRPr="008540AB" w:rsidRDefault="008540AB" w:rsidP="006C2B1F">
      <w:pPr>
        <w:tabs>
          <w:tab w:val="right" w:pos="6804"/>
        </w:tabs>
        <w:spacing w:before="40" w:after="40"/>
        <w:ind w:left="1134"/>
      </w:pPr>
      <w:r w:rsidRPr="008540AB">
        <w:t>Holdfast Bay</w:t>
      </w:r>
      <w:r w:rsidRPr="008540AB">
        <w:tab/>
        <w:t>44</w:t>
      </w:r>
    </w:p>
    <w:p w:rsidR="008540AB" w:rsidRPr="008540AB" w:rsidRDefault="008540AB" w:rsidP="006C2B1F">
      <w:pPr>
        <w:tabs>
          <w:tab w:val="right" w:pos="6804"/>
        </w:tabs>
        <w:spacing w:before="40" w:after="40"/>
        <w:ind w:left="1134"/>
      </w:pPr>
      <w:r w:rsidRPr="008540AB">
        <w:t>Light Regional</w:t>
      </w:r>
      <w:r w:rsidRPr="008540AB">
        <w:tab/>
        <w:t>42</w:t>
      </w:r>
    </w:p>
    <w:p w:rsidR="008540AB" w:rsidRPr="008540AB" w:rsidRDefault="008540AB" w:rsidP="006C2B1F">
      <w:pPr>
        <w:tabs>
          <w:tab w:val="right" w:pos="6804"/>
        </w:tabs>
        <w:spacing w:before="40" w:after="40"/>
        <w:ind w:left="1134"/>
      </w:pPr>
      <w:r w:rsidRPr="008540AB">
        <w:t>Coober Pedy</w:t>
      </w:r>
      <w:r w:rsidRPr="008540AB">
        <w:tab/>
        <w:t>30</w:t>
      </w:r>
    </w:p>
    <w:p w:rsidR="008540AB" w:rsidRPr="008540AB" w:rsidRDefault="008540AB" w:rsidP="006C2B1F">
      <w:pPr>
        <w:tabs>
          <w:tab w:val="right" w:pos="6804"/>
        </w:tabs>
        <w:spacing w:before="40" w:after="40"/>
        <w:ind w:left="1134"/>
      </w:pPr>
      <w:r w:rsidRPr="008540AB">
        <w:t>Tintinara</w:t>
      </w:r>
      <w:r w:rsidRPr="008540AB">
        <w:tab/>
        <w:t>21</w:t>
      </w:r>
    </w:p>
    <w:p w:rsidR="008540AB" w:rsidRPr="008540AB" w:rsidRDefault="008540AB" w:rsidP="006C2B1F">
      <w:pPr>
        <w:tabs>
          <w:tab w:val="right" w:pos="6804"/>
        </w:tabs>
        <w:spacing w:before="40" w:after="40"/>
        <w:ind w:left="1134"/>
      </w:pPr>
      <w:r w:rsidRPr="008540AB">
        <w:t>Playford</w:t>
      </w:r>
      <w:r w:rsidRPr="008540AB">
        <w:tab/>
        <w:t>20</w:t>
      </w:r>
    </w:p>
    <w:p w:rsidR="008540AB" w:rsidRPr="008540AB" w:rsidRDefault="008540AB" w:rsidP="006C2B1F">
      <w:pPr>
        <w:tabs>
          <w:tab w:val="right" w:pos="6804"/>
        </w:tabs>
        <w:spacing w:before="40" w:after="40"/>
        <w:ind w:left="1134"/>
      </w:pPr>
      <w:r w:rsidRPr="008540AB">
        <w:t>Waikerie</w:t>
      </w:r>
      <w:r w:rsidRPr="008540AB">
        <w:tab/>
        <w:t>13</w:t>
      </w:r>
    </w:p>
    <w:p w:rsidR="008540AB" w:rsidRPr="008540AB" w:rsidRDefault="008540AB" w:rsidP="006C2B1F">
      <w:pPr>
        <w:tabs>
          <w:tab w:val="right" w:pos="6804"/>
        </w:tabs>
        <w:spacing w:before="40" w:after="40"/>
        <w:ind w:left="1134"/>
      </w:pPr>
      <w:r w:rsidRPr="008540AB">
        <w:t>Swan Reach</w:t>
      </w:r>
      <w:r w:rsidRPr="008540AB">
        <w:tab/>
        <w:t>7</w:t>
      </w:r>
    </w:p>
    <w:p w:rsidR="008540AB" w:rsidRDefault="008540AB" w:rsidP="008540AB">
      <w:pPr>
        <w:rPr>
          <w:b/>
          <w:sz w:val="24"/>
        </w:rPr>
      </w:pPr>
    </w:p>
    <w:p w:rsidR="008540AB" w:rsidRPr="008540AB" w:rsidRDefault="008540AB" w:rsidP="006C2B1F">
      <w:pPr>
        <w:ind w:left="1134"/>
      </w:pPr>
      <w:r>
        <w:t>The r</w:t>
      </w:r>
      <w:r w:rsidRPr="008540AB">
        <w:t>emaining 63 library services registered zero loans</w:t>
      </w:r>
      <w:r>
        <w:t>.</w:t>
      </w:r>
    </w:p>
    <w:p w:rsidR="002C7195" w:rsidRDefault="002C7195">
      <w:pPr>
        <w:spacing w:before="0" w:after="0" w:line="240" w:lineRule="auto"/>
      </w:pPr>
      <w:r>
        <w:br w:type="page"/>
      </w:r>
    </w:p>
    <w:p w:rsidR="003B1BDA" w:rsidRDefault="00C9645A" w:rsidP="002C7195">
      <w:pPr>
        <w:pStyle w:val="Heading2"/>
      </w:pPr>
      <w:bookmarkStart w:id="25" w:name="_Toc374595996"/>
      <w:r>
        <w:t>D</w:t>
      </w:r>
      <w:r w:rsidR="002C7195">
        <w:t xml:space="preserve">: </w:t>
      </w:r>
      <w:r w:rsidR="002C7195">
        <w:tab/>
      </w:r>
      <w:bookmarkEnd w:id="25"/>
      <w:r w:rsidR="00F25FCA">
        <w:t xml:space="preserve">SA Library Services </w:t>
      </w:r>
      <w:r w:rsidR="00696D58">
        <w:t>Contribution to the C</w:t>
      </w:r>
      <w:r w:rsidR="00F25FCA">
        <w:t>L</w:t>
      </w:r>
      <w:r w:rsidR="00696D58">
        <w:t xml:space="preserve"> Levy</w:t>
      </w:r>
      <w:r w:rsidR="00F25FCA">
        <w:t xml:space="preserve"> 2013-14</w:t>
      </w:r>
    </w:p>
    <w:tbl>
      <w:tblPr>
        <w:tblW w:w="10572" w:type="dxa"/>
        <w:tblInd w:w="-691" w:type="dxa"/>
        <w:tblLook w:val="04A0" w:firstRow="1" w:lastRow="0" w:firstColumn="1" w:lastColumn="0" w:noHBand="0" w:noVBand="1"/>
      </w:tblPr>
      <w:tblGrid>
        <w:gridCol w:w="90"/>
        <w:gridCol w:w="128"/>
        <w:gridCol w:w="2483"/>
        <w:gridCol w:w="353"/>
        <w:gridCol w:w="462"/>
        <w:gridCol w:w="283"/>
        <w:gridCol w:w="639"/>
        <w:gridCol w:w="361"/>
        <w:gridCol w:w="277"/>
        <w:gridCol w:w="438"/>
        <w:gridCol w:w="147"/>
        <w:gridCol w:w="124"/>
        <w:gridCol w:w="168"/>
        <w:gridCol w:w="252"/>
        <w:gridCol w:w="416"/>
        <w:gridCol w:w="117"/>
        <w:gridCol w:w="606"/>
        <w:gridCol w:w="55"/>
        <w:gridCol w:w="87"/>
        <w:gridCol w:w="110"/>
        <w:gridCol w:w="173"/>
        <w:gridCol w:w="69"/>
        <w:gridCol w:w="442"/>
        <w:gridCol w:w="99"/>
        <w:gridCol w:w="99"/>
        <w:gridCol w:w="110"/>
        <w:gridCol w:w="91"/>
        <w:gridCol w:w="82"/>
        <w:gridCol w:w="709"/>
        <w:gridCol w:w="18"/>
        <w:gridCol w:w="159"/>
        <w:gridCol w:w="107"/>
        <w:gridCol w:w="818"/>
      </w:tblGrid>
      <w:tr w:rsidR="00F25FCA" w:rsidRPr="00F25FCA" w:rsidTr="00BE7AA6">
        <w:trPr>
          <w:trHeight w:val="240"/>
        </w:trPr>
        <w:tc>
          <w:tcPr>
            <w:tcW w:w="379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20"/>
                <w:szCs w:val="20"/>
                <w:lang w:eastAsia="en-AU"/>
              </w:rPr>
            </w:pPr>
          </w:p>
        </w:tc>
        <w:tc>
          <w:tcPr>
            <w:tcW w:w="2154" w:type="dxa"/>
            <w:gridSpan w:val="7"/>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785"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110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r>
      <w:tr w:rsidR="00F25FCA" w:rsidRPr="00F25FCA" w:rsidTr="00BE7AA6">
        <w:trPr>
          <w:trHeight w:val="240"/>
        </w:trPr>
        <w:tc>
          <w:tcPr>
            <w:tcW w:w="379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color w:val="0000FF"/>
                <w:sz w:val="12"/>
                <w:szCs w:val="12"/>
                <w:lang w:eastAsia="en-AU"/>
              </w:rPr>
            </w:pPr>
          </w:p>
        </w:tc>
        <w:tc>
          <w:tcPr>
            <w:tcW w:w="2154" w:type="dxa"/>
            <w:gridSpan w:val="7"/>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color w:val="0000FF"/>
                <w:sz w:val="12"/>
                <w:szCs w:val="12"/>
                <w:lang w:eastAsia="en-AU"/>
              </w:rPr>
            </w:pPr>
          </w:p>
        </w:tc>
        <w:tc>
          <w:tcPr>
            <w:tcW w:w="785"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 </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center"/>
              <w:rPr>
                <w:rFonts w:ascii="Arial" w:hAnsi="Arial" w:cs="Arial"/>
                <w:sz w:val="16"/>
                <w:szCs w:val="16"/>
                <w:lang w:eastAsia="en-AU"/>
              </w:rPr>
            </w:pP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r>
      <w:tr w:rsidR="00F25FCA" w:rsidRPr="00F25FCA" w:rsidTr="00BE7AA6">
        <w:trPr>
          <w:trHeight w:val="225"/>
        </w:trPr>
        <w:tc>
          <w:tcPr>
            <w:tcW w:w="379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center"/>
              <w:rPr>
                <w:rFonts w:ascii="Arial" w:hAnsi="Arial" w:cs="Arial"/>
                <w:color w:val="0000FF"/>
                <w:sz w:val="12"/>
                <w:szCs w:val="12"/>
                <w:lang w:eastAsia="en-AU"/>
              </w:rPr>
            </w:pPr>
          </w:p>
        </w:tc>
        <w:tc>
          <w:tcPr>
            <w:tcW w:w="2154" w:type="dxa"/>
            <w:gridSpan w:val="7"/>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785"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 </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r>
      <w:tr w:rsidR="00F25FCA" w:rsidRPr="00F25FCA" w:rsidTr="00BE7AA6">
        <w:trPr>
          <w:trHeight w:val="675"/>
        </w:trPr>
        <w:tc>
          <w:tcPr>
            <w:tcW w:w="379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bCs/>
                <w:i/>
                <w:iCs/>
                <w:sz w:val="16"/>
                <w:szCs w:val="16"/>
                <w:lang w:eastAsia="en-AU"/>
              </w:rPr>
            </w:pPr>
          </w:p>
        </w:tc>
        <w:tc>
          <w:tcPr>
            <w:tcW w:w="2154" w:type="dxa"/>
            <w:gridSpan w:val="7"/>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bCs/>
                <w:sz w:val="16"/>
                <w:szCs w:val="16"/>
                <w:lang w:eastAsia="en-AU"/>
              </w:rPr>
            </w:pPr>
          </w:p>
        </w:tc>
        <w:tc>
          <w:tcPr>
            <w:tcW w:w="785"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bCs/>
                <w:sz w:val="16"/>
                <w:szCs w:val="16"/>
                <w:lang w:eastAsia="en-AU"/>
              </w:rPr>
            </w:pPr>
          </w:p>
        </w:tc>
        <w:tc>
          <w:tcPr>
            <w:tcW w:w="1100" w:type="dxa"/>
            <w:gridSpan w:val="6"/>
            <w:tcBorders>
              <w:top w:val="nil"/>
              <w:left w:val="single" w:sz="8" w:space="0" w:color="auto"/>
              <w:bottom w:val="nil"/>
              <w:right w:val="nil"/>
            </w:tcBorders>
            <w:shd w:val="clear" w:color="auto" w:fill="auto"/>
            <w:vAlign w:val="bottom"/>
            <w:hideMark/>
          </w:tcPr>
          <w:p w:rsidR="00F25FCA" w:rsidRPr="00F25FCA" w:rsidRDefault="00F25FCA" w:rsidP="00F25FCA">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COMM LANG LEVY</w:t>
            </w:r>
          </w:p>
        </w:tc>
        <w:tc>
          <w:tcPr>
            <w:tcW w:w="923" w:type="dxa"/>
            <w:gridSpan w:val="6"/>
            <w:tcBorders>
              <w:top w:val="nil"/>
              <w:left w:val="nil"/>
              <w:bottom w:val="nil"/>
              <w:right w:val="nil"/>
            </w:tcBorders>
            <w:shd w:val="clear" w:color="auto" w:fill="auto"/>
            <w:vAlign w:val="bottom"/>
            <w:hideMark/>
          </w:tcPr>
          <w:p w:rsidR="00F25FCA" w:rsidRPr="00F25FCA" w:rsidRDefault="00F25FCA" w:rsidP="00F25FCA">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COMM</w:t>
            </w:r>
            <w:r w:rsidR="004948D7">
              <w:rPr>
                <w:rFonts w:ascii="Arial" w:hAnsi="Arial" w:cs="Arial"/>
                <w:b/>
                <w:bCs/>
                <w:sz w:val="16"/>
                <w:szCs w:val="16"/>
                <w:lang w:eastAsia="en-AU"/>
              </w:rPr>
              <w:t>*</w:t>
            </w:r>
            <w:r w:rsidR="004948D7">
              <w:rPr>
                <w:rStyle w:val="FootnoteReference"/>
                <w:rFonts w:ascii="Arial" w:hAnsi="Arial" w:cs="Arial"/>
                <w:b/>
                <w:bCs/>
                <w:sz w:val="16"/>
                <w:szCs w:val="16"/>
                <w:lang w:eastAsia="en-AU"/>
              </w:rPr>
              <w:footnoteReference w:id="5"/>
            </w:r>
            <w:r w:rsidRPr="00F25FCA">
              <w:rPr>
                <w:rFonts w:ascii="Arial" w:hAnsi="Arial" w:cs="Arial"/>
                <w:b/>
                <w:bCs/>
                <w:sz w:val="16"/>
                <w:szCs w:val="16"/>
                <w:lang w:eastAsia="en-AU"/>
              </w:rPr>
              <w:t xml:space="preserve"> LANG OTHER</w:t>
            </w:r>
          </w:p>
        </w:tc>
        <w:tc>
          <w:tcPr>
            <w:tcW w:w="886"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bCs/>
                <w:sz w:val="16"/>
                <w:szCs w:val="16"/>
                <w:lang w:eastAsia="en-AU"/>
              </w:rPr>
            </w:pPr>
            <w:r w:rsidRPr="00F25FCA">
              <w:rPr>
                <w:rFonts w:ascii="Arial" w:hAnsi="Arial" w:cs="Arial"/>
                <w:b/>
                <w:bCs/>
                <w:sz w:val="16"/>
                <w:szCs w:val="16"/>
                <w:lang w:eastAsia="en-AU"/>
              </w:rPr>
              <w:t>TOTAL</w:t>
            </w:r>
          </w:p>
        </w:tc>
        <w:tc>
          <w:tcPr>
            <w:tcW w:w="925" w:type="dxa"/>
            <w:gridSpan w:val="2"/>
            <w:tcBorders>
              <w:top w:val="nil"/>
              <w:left w:val="nil"/>
              <w:bottom w:val="nil"/>
              <w:right w:val="nil"/>
            </w:tcBorders>
            <w:shd w:val="clear" w:color="auto" w:fill="auto"/>
            <w:vAlign w:val="bottom"/>
            <w:hideMark/>
          </w:tcPr>
          <w:p w:rsidR="00F25FCA" w:rsidRPr="00F25FCA" w:rsidRDefault="00F25FCA" w:rsidP="00F25FCA">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 OF TOTAL LEVY</w:t>
            </w:r>
          </w:p>
        </w:tc>
      </w:tr>
      <w:tr w:rsidR="00F25FCA" w:rsidRPr="00F25FCA" w:rsidTr="00BE7AA6">
        <w:trPr>
          <w:trHeight w:val="240"/>
        </w:trPr>
        <w:tc>
          <w:tcPr>
            <w:tcW w:w="3799" w:type="dxa"/>
            <w:gridSpan w:val="6"/>
            <w:tcBorders>
              <w:top w:val="nil"/>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sz w:val="16"/>
                <w:szCs w:val="16"/>
                <w:lang w:eastAsia="en-AU"/>
              </w:rPr>
            </w:pPr>
            <w:r w:rsidRPr="00F25FCA">
              <w:rPr>
                <w:rFonts w:ascii="Arial" w:hAnsi="Arial" w:cs="Arial"/>
                <w:b/>
                <w:sz w:val="16"/>
                <w:szCs w:val="16"/>
                <w:lang w:eastAsia="en-AU"/>
              </w:rPr>
              <w:t>Metropolitan Council</w:t>
            </w:r>
          </w:p>
        </w:tc>
        <w:tc>
          <w:tcPr>
            <w:tcW w:w="2154" w:type="dxa"/>
            <w:gridSpan w:val="7"/>
            <w:tcBorders>
              <w:top w:val="nil"/>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sz w:val="16"/>
                <w:szCs w:val="16"/>
                <w:lang w:eastAsia="en-AU"/>
              </w:rPr>
            </w:pPr>
            <w:r w:rsidRPr="00F25FCA">
              <w:rPr>
                <w:rFonts w:ascii="Arial" w:hAnsi="Arial" w:cs="Arial"/>
                <w:b/>
                <w:sz w:val="16"/>
                <w:szCs w:val="16"/>
                <w:lang w:eastAsia="en-AU"/>
              </w:rPr>
              <w:t>Library Service</w:t>
            </w:r>
          </w:p>
        </w:tc>
        <w:tc>
          <w:tcPr>
            <w:tcW w:w="785" w:type="dxa"/>
            <w:gridSpan w:val="3"/>
            <w:tcBorders>
              <w:top w:val="nil"/>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sz w:val="16"/>
                <w:szCs w:val="16"/>
                <w:lang w:eastAsia="en-AU"/>
              </w:rPr>
            </w:pPr>
            <w:r w:rsidRPr="00F25FCA">
              <w:rPr>
                <w:rFonts w:ascii="Arial" w:hAnsi="Arial" w:cs="Arial"/>
                <w:b/>
                <w:sz w:val="16"/>
                <w:szCs w:val="16"/>
                <w:lang w:eastAsia="en-AU"/>
              </w:rPr>
              <w:t>CODES</w:t>
            </w:r>
          </w:p>
        </w:tc>
        <w:tc>
          <w:tcPr>
            <w:tcW w:w="1100" w:type="dxa"/>
            <w:gridSpan w:val="6"/>
            <w:tcBorders>
              <w:top w:val="nil"/>
              <w:left w:val="single" w:sz="8" w:space="0" w:color="auto"/>
              <w:bottom w:val="single" w:sz="8" w:space="0" w:color="auto"/>
              <w:right w:val="nil"/>
            </w:tcBorders>
            <w:shd w:val="clear" w:color="auto" w:fill="auto"/>
            <w:noWrap/>
            <w:vAlign w:val="bottom"/>
            <w:hideMark/>
          </w:tcPr>
          <w:p w:rsidR="00F25FCA" w:rsidRPr="00F25FCA" w:rsidRDefault="00F25FCA" w:rsidP="00F25FCA">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2.93%</w:t>
            </w:r>
          </w:p>
        </w:tc>
        <w:tc>
          <w:tcPr>
            <w:tcW w:w="923" w:type="dxa"/>
            <w:gridSpan w:val="6"/>
            <w:tcBorders>
              <w:top w:val="nil"/>
              <w:left w:val="nil"/>
              <w:bottom w:val="single" w:sz="8" w:space="0" w:color="auto"/>
              <w:right w:val="nil"/>
            </w:tcBorders>
            <w:shd w:val="clear" w:color="auto" w:fill="auto"/>
            <w:noWrap/>
            <w:vAlign w:val="bottom"/>
            <w:hideMark/>
          </w:tcPr>
          <w:p w:rsidR="00F25FCA" w:rsidRPr="00F25FCA" w:rsidRDefault="00BE7AA6" w:rsidP="00F25FCA">
            <w:pPr>
              <w:spacing w:before="0" w:after="0" w:line="240" w:lineRule="auto"/>
              <w:jc w:val="center"/>
              <w:rPr>
                <w:rFonts w:ascii="Arial" w:hAnsi="Arial" w:cs="Arial"/>
                <w:b/>
                <w:sz w:val="16"/>
                <w:szCs w:val="16"/>
                <w:lang w:eastAsia="en-AU"/>
              </w:rPr>
            </w:pPr>
            <w:r>
              <w:rPr>
                <w:rFonts w:ascii="Arial" w:hAnsi="Arial" w:cs="Arial"/>
                <w:b/>
                <w:sz w:val="16"/>
                <w:szCs w:val="16"/>
                <w:lang w:eastAsia="en-AU"/>
              </w:rPr>
              <w:t>*</w:t>
            </w:r>
          </w:p>
        </w:tc>
        <w:tc>
          <w:tcPr>
            <w:tcW w:w="886" w:type="dxa"/>
            <w:gridSpan w:val="3"/>
            <w:tcBorders>
              <w:top w:val="nil"/>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w:t>
            </w:r>
          </w:p>
        </w:tc>
        <w:tc>
          <w:tcPr>
            <w:tcW w:w="925" w:type="dxa"/>
            <w:gridSpan w:val="2"/>
            <w:tcBorders>
              <w:top w:val="nil"/>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w:t>
            </w:r>
          </w:p>
        </w:tc>
      </w:tr>
      <w:tr w:rsidR="00F25FCA" w:rsidRPr="00F25FCA" w:rsidTr="00BE7AA6">
        <w:trPr>
          <w:trHeight w:val="240"/>
        </w:trPr>
        <w:tc>
          <w:tcPr>
            <w:tcW w:w="379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ADELAIDE CITY COUNCIL</w:t>
            </w:r>
          </w:p>
        </w:tc>
        <w:tc>
          <w:tcPr>
            <w:tcW w:w="1862"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Adelaide</w:t>
            </w:r>
          </w:p>
        </w:tc>
        <w:tc>
          <w:tcPr>
            <w:tcW w:w="1077" w:type="dxa"/>
            <w:gridSpan w:val="5"/>
            <w:tcBorders>
              <w:top w:val="nil"/>
              <w:left w:val="nil"/>
              <w:bottom w:val="nil"/>
              <w:right w:val="nil"/>
            </w:tcBorders>
            <w:shd w:val="clear" w:color="auto" w:fill="auto"/>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A40</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9957</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10400</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20,358</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5.54</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ADELAIDE HILLS COUNCIL</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color w:val="000000"/>
                <w:sz w:val="16"/>
                <w:szCs w:val="16"/>
                <w:lang w:eastAsia="en-AU"/>
              </w:rPr>
            </w:pPr>
            <w:r w:rsidRPr="00F25FCA">
              <w:rPr>
                <w:rFonts w:ascii="Arial" w:hAnsi="Arial" w:cs="Arial"/>
                <w:color w:val="000000"/>
                <w:sz w:val="16"/>
                <w:szCs w:val="16"/>
                <w:lang w:eastAsia="en-AU"/>
              </w:rPr>
              <w:t>Adelaide Hills</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A37</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4533</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1472</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6,005</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1.63</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BURNSIDE</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Burnside</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 6</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5023</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5718</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10,741</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2.92</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CAMPBELLTOWN CITY COUNCIL</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Campbelltown</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A26</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5710</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11349</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17,059</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4.64</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CHARLES STURT</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Charles Sturt</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A29</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12465</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20234</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32,698</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8.90</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TOWN OF GAWLER</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Gawler</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A43</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2408</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589</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2,997</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0.82</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HOLDFAST BAY</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Holdfast Bay</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 7</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4138</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2274</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6,412</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1.74</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MARION</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Marion</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color w:val="000000"/>
                <w:sz w:val="16"/>
                <w:szCs w:val="16"/>
                <w:lang w:eastAsia="en-AU"/>
              </w:rPr>
            </w:pPr>
            <w:r w:rsidRPr="00F25FCA">
              <w:rPr>
                <w:rFonts w:ascii="Arial" w:hAnsi="Arial" w:cs="Arial"/>
                <w:color w:val="000000"/>
                <w:sz w:val="16"/>
                <w:szCs w:val="16"/>
                <w:lang w:eastAsia="en-AU"/>
              </w:rPr>
              <w:t>A 2</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9816</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8934</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18,750</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5.10</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MITCHAM</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Mitcham</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A15</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7430</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6012</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13,442</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3.66</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DISTRICT COUNCIL OF MOUNT BARKER</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Mt Barker</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A38</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3523</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818</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4,341</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1.18</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NORWOOD PAYNEHAM AND ST PETERS</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proofErr w:type="spellStart"/>
            <w:r w:rsidRPr="00F25FCA">
              <w:rPr>
                <w:rFonts w:ascii="Arial" w:hAnsi="Arial" w:cs="Arial"/>
                <w:sz w:val="16"/>
                <w:szCs w:val="16"/>
                <w:lang w:eastAsia="en-AU"/>
              </w:rPr>
              <w:t>Norwood,Payneham,St</w:t>
            </w:r>
            <w:proofErr w:type="spellEnd"/>
            <w:r w:rsidRPr="00F25FCA">
              <w:rPr>
                <w:rFonts w:ascii="Arial" w:hAnsi="Arial" w:cs="Arial"/>
                <w:sz w:val="16"/>
                <w:szCs w:val="16"/>
                <w:lang w:eastAsia="en-AU"/>
              </w:rPr>
              <w:t xml:space="preserve"> Peters</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A39</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4171</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6181</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10,351</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2.82</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ONKAPARINGA</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Onkaparinga</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A19</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18744</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6826</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25,570</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6.96</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PLAYFORD</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Playford</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 1</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9440</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5314</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14,754</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4.02</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PORT ADELAIDE ENFIELD</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Port Adelaide Enfield</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A13</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13437</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22614</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36,051</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9.81</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PROSPECT</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Prospect</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A36</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2382</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3601</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5,983</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1.63</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SALISBURY</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Salisbury</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 4</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15216</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20213</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35,428</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9.64</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TEA TREE GULLY</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Tea Tree Gully</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A17</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11182</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7389</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18,570</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5.05</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UNLEY</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Unley</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A16</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4378</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4584</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8,963</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2.44</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CORPORATION OF THE TOWN OF WALKERVILLE</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Walkerville</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 9</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835</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898</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1,732</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0.47</w:t>
            </w:r>
          </w:p>
        </w:tc>
      </w:tr>
      <w:tr w:rsidR="00F25FCA" w:rsidRPr="00F25FCA" w:rsidTr="00BE7AA6">
        <w:trPr>
          <w:trHeight w:val="240"/>
        </w:trPr>
        <w:tc>
          <w:tcPr>
            <w:tcW w:w="3799" w:type="dxa"/>
            <w:gridSpan w:val="6"/>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WEST TORRENS</w:t>
            </w:r>
          </w:p>
        </w:tc>
        <w:tc>
          <w:tcPr>
            <w:tcW w:w="1862"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West Torrens/Thebarton</w:t>
            </w:r>
          </w:p>
        </w:tc>
        <w:tc>
          <w:tcPr>
            <w:tcW w:w="1077" w:type="dxa"/>
            <w:gridSpan w:val="5"/>
            <w:tcBorders>
              <w:top w:val="nil"/>
              <w:left w:val="nil"/>
              <w:bottom w:val="nil"/>
              <w:right w:val="nil"/>
            </w:tcBorders>
            <w:shd w:val="clear" w:color="000000" w:fill="FFFFFF"/>
            <w:noWrap/>
            <w:vAlign w:val="center"/>
            <w:hideMark/>
          </w:tcPr>
          <w:p w:rsidR="00F25FCA" w:rsidRPr="00F25FCA" w:rsidRDefault="00F25FCA" w:rsidP="00481192">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A11</w:t>
            </w:r>
          </w:p>
        </w:tc>
        <w:tc>
          <w:tcPr>
            <w:tcW w:w="1100" w:type="dxa"/>
            <w:gridSpan w:val="6"/>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6529</w:t>
            </w:r>
          </w:p>
        </w:tc>
        <w:tc>
          <w:tcPr>
            <w:tcW w:w="841"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11397</w:t>
            </w:r>
          </w:p>
        </w:tc>
        <w:tc>
          <w:tcPr>
            <w:tcW w:w="968" w:type="dxa"/>
            <w:gridSpan w:val="4"/>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17,927</w:t>
            </w:r>
          </w:p>
        </w:tc>
        <w:tc>
          <w:tcPr>
            <w:tcW w:w="925" w:type="dxa"/>
            <w:gridSpan w:val="2"/>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4.88</w:t>
            </w:r>
          </w:p>
        </w:tc>
      </w:tr>
      <w:tr w:rsidR="00F25FCA" w:rsidRPr="00F25FCA" w:rsidTr="00BE7AA6">
        <w:trPr>
          <w:trHeight w:val="240"/>
        </w:trPr>
        <w:tc>
          <w:tcPr>
            <w:tcW w:w="3799" w:type="dxa"/>
            <w:gridSpan w:val="6"/>
            <w:tcBorders>
              <w:top w:val="single" w:sz="8" w:space="0" w:color="auto"/>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bCs/>
                <w:sz w:val="16"/>
                <w:szCs w:val="16"/>
                <w:lang w:eastAsia="en-AU"/>
              </w:rPr>
            </w:pPr>
            <w:r w:rsidRPr="00F25FCA">
              <w:rPr>
                <w:rFonts w:ascii="Arial" w:hAnsi="Arial" w:cs="Arial"/>
                <w:b/>
                <w:bCs/>
                <w:sz w:val="16"/>
                <w:szCs w:val="16"/>
                <w:lang w:eastAsia="en-AU"/>
              </w:rPr>
              <w:t>METROPOLITAN</w:t>
            </w:r>
          </w:p>
        </w:tc>
        <w:tc>
          <w:tcPr>
            <w:tcW w:w="2154" w:type="dxa"/>
            <w:gridSpan w:val="7"/>
            <w:tcBorders>
              <w:top w:val="single" w:sz="8" w:space="0" w:color="auto"/>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bCs/>
                <w:sz w:val="16"/>
                <w:szCs w:val="16"/>
                <w:lang w:eastAsia="en-AU"/>
              </w:rPr>
            </w:pPr>
            <w:r w:rsidRPr="00F25FCA">
              <w:rPr>
                <w:rFonts w:ascii="Arial" w:hAnsi="Arial" w:cs="Arial"/>
                <w:b/>
                <w:bCs/>
                <w:sz w:val="16"/>
                <w:szCs w:val="16"/>
                <w:lang w:eastAsia="en-AU"/>
              </w:rPr>
              <w:t> </w:t>
            </w:r>
          </w:p>
        </w:tc>
        <w:tc>
          <w:tcPr>
            <w:tcW w:w="785" w:type="dxa"/>
            <w:gridSpan w:val="3"/>
            <w:tcBorders>
              <w:top w:val="single" w:sz="8" w:space="0" w:color="auto"/>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bCs/>
                <w:sz w:val="16"/>
                <w:szCs w:val="16"/>
                <w:lang w:eastAsia="en-AU"/>
              </w:rPr>
            </w:pPr>
            <w:r w:rsidRPr="00F25FCA">
              <w:rPr>
                <w:rFonts w:ascii="Arial" w:hAnsi="Arial" w:cs="Arial"/>
                <w:b/>
                <w:bCs/>
                <w:sz w:val="16"/>
                <w:szCs w:val="16"/>
                <w:lang w:eastAsia="en-AU"/>
              </w:rPr>
              <w:t> </w:t>
            </w:r>
          </w:p>
        </w:tc>
        <w:tc>
          <w:tcPr>
            <w:tcW w:w="1100" w:type="dxa"/>
            <w:gridSpan w:val="6"/>
            <w:tcBorders>
              <w:top w:val="single" w:sz="8" w:space="0" w:color="auto"/>
              <w:left w:val="single" w:sz="8" w:space="0" w:color="auto"/>
              <w:bottom w:val="single" w:sz="8" w:space="0" w:color="auto"/>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b/>
                <w:bCs/>
                <w:sz w:val="16"/>
                <w:szCs w:val="16"/>
                <w:lang w:eastAsia="en-AU"/>
              </w:rPr>
            </w:pPr>
            <w:r w:rsidRPr="00F25FCA">
              <w:rPr>
                <w:rFonts w:ascii="Arial" w:hAnsi="Arial" w:cs="Arial"/>
                <w:b/>
                <w:bCs/>
                <w:sz w:val="16"/>
                <w:szCs w:val="16"/>
                <w:lang w:eastAsia="en-AU"/>
              </w:rPr>
              <w:t>151317</w:t>
            </w:r>
          </w:p>
        </w:tc>
        <w:tc>
          <w:tcPr>
            <w:tcW w:w="841" w:type="dxa"/>
            <w:gridSpan w:val="5"/>
            <w:tcBorders>
              <w:top w:val="single" w:sz="8" w:space="0" w:color="auto"/>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b/>
                <w:bCs/>
                <w:sz w:val="16"/>
                <w:szCs w:val="16"/>
                <w:lang w:eastAsia="en-AU"/>
              </w:rPr>
            </w:pPr>
            <w:r w:rsidRPr="00F25FCA">
              <w:rPr>
                <w:rFonts w:ascii="Arial" w:hAnsi="Arial" w:cs="Arial"/>
                <w:b/>
                <w:bCs/>
                <w:sz w:val="16"/>
                <w:szCs w:val="16"/>
                <w:lang w:eastAsia="en-AU"/>
              </w:rPr>
              <w:t>156816</w:t>
            </w:r>
          </w:p>
        </w:tc>
        <w:tc>
          <w:tcPr>
            <w:tcW w:w="968" w:type="dxa"/>
            <w:gridSpan w:val="4"/>
            <w:tcBorders>
              <w:top w:val="single" w:sz="8" w:space="0" w:color="auto"/>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b/>
                <w:bCs/>
                <w:sz w:val="16"/>
                <w:szCs w:val="16"/>
                <w:lang w:eastAsia="en-AU"/>
              </w:rPr>
            </w:pPr>
            <w:r w:rsidRPr="00F25FCA">
              <w:rPr>
                <w:rFonts w:ascii="Arial" w:hAnsi="Arial" w:cs="Arial"/>
                <w:b/>
                <w:bCs/>
                <w:sz w:val="16"/>
                <w:szCs w:val="16"/>
                <w:lang w:eastAsia="en-AU"/>
              </w:rPr>
              <w:t>308132</w:t>
            </w:r>
          </w:p>
        </w:tc>
        <w:tc>
          <w:tcPr>
            <w:tcW w:w="925" w:type="dxa"/>
            <w:gridSpan w:val="2"/>
            <w:tcBorders>
              <w:top w:val="single" w:sz="8" w:space="0" w:color="auto"/>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b/>
                <w:bCs/>
                <w:sz w:val="16"/>
                <w:szCs w:val="16"/>
                <w:lang w:eastAsia="en-AU"/>
              </w:rPr>
            </w:pPr>
            <w:r w:rsidRPr="00F25FCA">
              <w:rPr>
                <w:rFonts w:ascii="Arial" w:hAnsi="Arial" w:cs="Arial"/>
                <w:b/>
                <w:bCs/>
                <w:sz w:val="16"/>
                <w:szCs w:val="16"/>
                <w:lang w:eastAsia="en-AU"/>
              </w:rPr>
              <w:t>83.85</w:t>
            </w:r>
          </w:p>
        </w:tc>
      </w:tr>
      <w:tr w:rsidR="00F25FCA" w:rsidRPr="00F25FCA" w:rsidTr="00BE7AA6">
        <w:trPr>
          <w:trHeight w:val="337"/>
        </w:trPr>
        <w:tc>
          <w:tcPr>
            <w:tcW w:w="3799" w:type="dxa"/>
            <w:gridSpan w:val="6"/>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2154" w:type="dxa"/>
            <w:gridSpan w:val="7"/>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785" w:type="dxa"/>
            <w:gridSpan w:val="3"/>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1100" w:type="dxa"/>
            <w:gridSpan w:val="6"/>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841" w:type="dxa"/>
            <w:gridSpan w:val="5"/>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968" w:type="dxa"/>
            <w:gridSpan w:val="4"/>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925" w:type="dxa"/>
            <w:gridSpan w:val="2"/>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r>
      <w:tr w:rsidR="00F25FCA" w:rsidRPr="00F25FCA" w:rsidTr="00BE7AA6">
        <w:trPr>
          <w:trHeight w:val="149"/>
        </w:trPr>
        <w:tc>
          <w:tcPr>
            <w:tcW w:w="3799" w:type="dxa"/>
            <w:gridSpan w:val="6"/>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2154" w:type="dxa"/>
            <w:gridSpan w:val="7"/>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785" w:type="dxa"/>
            <w:gridSpan w:val="3"/>
            <w:tcBorders>
              <w:top w:val="nil"/>
              <w:left w:val="nil"/>
              <w:bottom w:val="nil"/>
              <w:right w:val="nil"/>
            </w:tcBorders>
            <w:shd w:val="clear" w:color="000000" w:fill="auto"/>
            <w:noWrap/>
            <w:vAlign w:val="bottom"/>
          </w:tcPr>
          <w:p w:rsidR="00F25FCA" w:rsidRPr="00F25FCA" w:rsidRDefault="00F25FCA" w:rsidP="00F25FCA">
            <w:pPr>
              <w:spacing w:before="0" w:after="0" w:line="240" w:lineRule="auto"/>
              <w:rPr>
                <w:rFonts w:ascii="Arial" w:hAnsi="Arial" w:cs="Arial"/>
                <w:sz w:val="16"/>
                <w:szCs w:val="16"/>
                <w:lang w:eastAsia="en-AU"/>
              </w:rPr>
            </w:pPr>
          </w:p>
        </w:tc>
        <w:tc>
          <w:tcPr>
            <w:tcW w:w="1100" w:type="dxa"/>
            <w:gridSpan w:val="6"/>
            <w:tcBorders>
              <w:top w:val="nil"/>
              <w:left w:val="nil"/>
              <w:bottom w:val="nil"/>
              <w:right w:val="nil"/>
            </w:tcBorders>
            <w:shd w:val="clear" w:color="000000" w:fill="auto"/>
            <w:noWrap/>
            <w:vAlign w:val="bottom"/>
          </w:tcPr>
          <w:p w:rsidR="00F25FCA" w:rsidRPr="00F25FCA" w:rsidRDefault="00F25FCA" w:rsidP="00F25FCA">
            <w:pPr>
              <w:spacing w:before="0" w:after="0" w:line="240" w:lineRule="auto"/>
              <w:rPr>
                <w:rFonts w:ascii="Arial" w:hAnsi="Arial" w:cs="Arial"/>
                <w:sz w:val="16"/>
                <w:szCs w:val="16"/>
                <w:lang w:eastAsia="en-AU"/>
              </w:rPr>
            </w:pPr>
          </w:p>
        </w:tc>
        <w:tc>
          <w:tcPr>
            <w:tcW w:w="841" w:type="dxa"/>
            <w:gridSpan w:val="5"/>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968" w:type="dxa"/>
            <w:gridSpan w:val="4"/>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c>
          <w:tcPr>
            <w:tcW w:w="925" w:type="dxa"/>
            <w:gridSpan w:val="2"/>
            <w:tcBorders>
              <w:top w:val="nil"/>
              <w:left w:val="nil"/>
              <w:bottom w:val="nil"/>
              <w:right w:val="nil"/>
            </w:tcBorders>
            <w:shd w:val="clear" w:color="000000" w:fill="auto"/>
            <w:noWrap/>
            <w:vAlign w:val="bottom"/>
            <w:hideMark/>
          </w:tcPr>
          <w:p w:rsidR="00F25FCA" w:rsidRPr="00F25FCA" w:rsidRDefault="00F25FCA" w:rsidP="00F25FCA">
            <w:pPr>
              <w:spacing w:before="0" w:after="0" w:line="240" w:lineRule="auto"/>
              <w:rPr>
                <w:rFonts w:ascii="Arial" w:hAnsi="Arial" w:cs="Arial"/>
                <w:sz w:val="16"/>
                <w:szCs w:val="16"/>
                <w:lang w:eastAsia="en-AU"/>
              </w:rPr>
            </w:pPr>
          </w:p>
        </w:tc>
      </w:tr>
      <w:tr w:rsidR="00F25FCA" w:rsidRPr="00F25FCA" w:rsidTr="00BE7AA6">
        <w:trPr>
          <w:trHeight w:val="675"/>
        </w:trPr>
        <w:tc>
          <w:tcPr>
            <w:tcW w:w="3799" w:type="dxa"/>
            <w:gridSpan w:val="6"/>
            <w:tcBorders>
              <w:top w:val="single" w:sz="4" w:space="0" w:color="auto"/>
              <w:left w:val="nil"/>
              <w:bottom w:val="nil"/>
              <w:right w:val="nil"/>
            </w:tcBorders>
            <w:shd w:val="clear" w:color="auto" w:fill="auto"/>
            <w:noWrap/>
            <w:vAlign w:val="bottom"/>
            <w:hideMark/>
          </w:tcPr>
          <w:p w:rsidR="00F25FCA" w:rsidRPr="00F25FCA" w:rsidRDefault="00F25FCA" w:rsidP="00DB3809">
            <w:pPr>
              <w:spacing w:before="0" w:after="0" w:line="240" w:lineRule="auto"/>
              <w:rPr>
                <w:rFonts w:ascii="Arial" w:hAnsi="Arial" w:cs="Arial"/>
                <w:b/>
                <w:bCs/>
                <w:i/>
                <w:iCs/>
                <w:sz w:val="16"/>
                <w:szCs w:val="16"/>
                <w:lang w:eastAsia="en-AU"/>
              </w:rPr>
            </w:pPr>
          </w:p>
        </w:tc>
        <w:tc>
          <w:tcPr>
            <w:tcW w:w="2154" w:type="dxa"/>
            <w:gridSpan w:val="7"/>
            <w:tcBorders>
              <w:top w:val="single" w:sz="4" w:space="0" w:color="auto"/>
              <w:left w:val="nil"/>
              <w:bottom w:val="nil"/>
              <w:right w:val="nil"/>
            </w:tcBorders>
            <w:shd w:val="clear" w:color="auto" w:fill="auto"/>
            <w:noWrap/>
            <w:vAlign w:val="bottom"/>
            <w:hideMark/>
          </w:tcPr>
          <w:p w:rsidR="00F25FCA" w:rsidRPr="00F25FCA" w:rsidRDefault="00F25FCA" w:rsidP="00DB3809">
            <w:pPr>
              <w:spacing w:before="0" w:after="0" w:line="240" w:lineRule="auto"/>
              <w:rPr>
                <w:rFonts w:ascii="Arial" w:hAnsi="Arial" w:cs="Arial"/>
                <w:b/>
                <w:bCs/>
                <w:sz w:val="16"/>
                <w:szCs w:val="16"/>
                <w:lang w:eastAsia="en-AU"/>
              </w:rPr>
            </w:pPr>
          </w:p>
        </w:tc>
        <w:tc>
          <w:tcPr>
            <w:tcW w:w="785" w:type="dxa"/>
            <w:gridSpan w:val="3"/>
            <w:tcBorders>
              <w:top w:val="single" w:sz="4" w:space="0" w:color="auto"/>
              <w:left w:val="nil"/>
              <w:bottom w:val="nil"/>
              <w:right w:val="nil"/>
            </w:tcBorders>
            <w:shd w:val="clear" w:color="auto" w:fill="auto"/>
            <w:noWrap/>
            <w:vAlign w:val="bottom"/>
            <w:hideMark/>
          </w:tcPr>
          <w:p w:rsidR="00F25FCA" w:rsidRPr="00F25FCA" w:rsidRDefault="00F25FCA" w:rsidP="00DB3809">
            <w:pPr>
              <w:spacing w:before="0" w:after="0" w:line="240" w:lineRule="auto"/>
              <w:rPr>
                <w:rFonts w:ascii="Arial" w:hAnsi="Arial" w:cs="Arial"/>
                <w:b/>
                <w:bCs/>
                <w:sz w:val="16"/>
                <w:szCs w:val="16"/>
                <w:lang w:eastAsia="en-AU"/>
              </w:rPr>
            </w:pPr>
          </w:p>
        </w:tc>
        <w:tc>
          <w:tcPr>
            <w:tcW w:w="1100" w:type="dxa"/>
            <w:gridSpan w:val="6"/>
            <w:tcBorders>
              <w:top w:val="single" w:sz="4" w:space="0" w:color="auto"/>
              <w:left w:val="single" w:sz="8" w:space="0" w:color="auto"/>
              <w:bottom w:val="nil"/>
              <w:right w:val="nil"/>
            </w:tcBorders>
            <w:shd w:val="clear" w:color="auto" w:fill="auto"/>
            <w:vAlign w:val="bottom"/>
            <w:hideMark/>
          </w:tcPr>
          <w:p w:rsidR="00F25FCA" w:rsidRPr="00F25FCA" w:rsidRDefault="00F25FCA" w:rsidP="00DB3809">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COMM LANG LEVY</w:t>
            </w:r>
          </w:p>
        </w:tc>
        <w:tc>
          <w:tcPr>
            <w:tcW w:w="841" w:type="dxa"/>
            <w:gridSpan w:val="5"/>
            <w:tcBorders>
              <w:top w:val="single" w:sz="4" w:space="0" w:color="auto"/>
              <w:left w:val="nil"/>
              <w:bottom w:val="nil"/>
              <w:right w:val="nil"/>
            </w:tcBorders>
            <w:shd w:val="clear" w:color="auto" w:fill="auto"/>
            <w:vAlign w:val="bottom"/>
            <w:hideMark/>
          </w:tcPr>
          <w:p w:rsidR="00F25FCA" w:rsidRPr="00F25FCA" w:rsidRDefault="00F25FCA" w:rsidP="00DB3809">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COMM LANG OTHER</w:t>
            </w:r>
          </w:p>
        </w:tc>
        <w:tc>
          <w:tcPr>
            <w:tcW w:w="968" w:type="dxa"/>
            <w:gridSpan w:val="4"/>
            <w:tcBorders>
              <w:top w:val="single" w:sz="4" w:space="0" w:color="auto"/>
              <w:left w:val="nil"/>
              <w:bottom w:val="nil"/>
              <w:right w:val="nil"/>
            </w:tcBorders>
            <w:shd w:val="clear" w:color="auto" w:fill="auto"/>
            <w:noWrap/>
            <w:vAlign w:val="bottom"/>
            <w:hideMark/>
          </w:tcPr>
          <w:p w:rsidR="00F25FCA" w:rsidRPr="00F25FCA" w:rsidRDefault="00F25FCA" w:rsidP="00DB3809">
            <w:pPr>
              <w:spacing w:before="0" w:after="0" w:line="240" w:lineRule="auto"/>
              <w:rPr>
                <w:rFonts w:ascii="Arial" w:hAnsi="Arial" w:cs="Arial"/>
                <w:b/>
                <w:bCs/>
                <w:sz w:val="16"/>
                <w:szCs w:val="16"/>
                <w:lang w:eastAsia="en-AU"/>
              </w:rPr>
            </w:pPr>
            <w:r w:rsidRPr="00F25FCA">
              <w:rPr>
                <w:rFonts w:ascii="Arial" w:hAnsi="Arial" w:cs="Arial"/>
                <w:b/>
                <w:bCs/>
                <w:sz w:val="16"/>
                <w:szCs w:val="16"/>
                <w:lang w:eastAsia="en-AU"/>
              </w:rPr>
              <w:t>TOTAL</w:t>
            </w:r>
          </w:p>
        </w:tc>
        <w:tc>
          <w:tcPr>
            <w:tcW w:w="925" w:type="dxa"/>
            <w:gridSpan w:val="2"/>
            <w:tcBorders>
              <w:top w:val="single" w:sz="4" w:space="0" w:color="auto"/>
              <w:left w:val="nil"/>
              <w:bottom w:val="nil"/>
              <w:right w:val="nil"/>
            </w:tcBorders>
            <w:shd w:val="clear" w:color="auto" w:fill="auto"/>
            <w:vAlign w:val="bottom"/>
            <w:hideMark/>
          </w:tcPr>
          <w:p w:rsidR="00F25FCA" w:rsidRPr="00F25FCA" w:rsidRDefault="00F25FCA" w:rsidP="00DB3809">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 OF TOTAL LEVY</w:t>
            </w:r>
          </w:p>
        </w:tc>
      </w:tr>
      <w:tr w:rsidR="00F25FCA" w:rsidRPr="00F25FCA" w:rsidTr="00BE7AA6">
        <w:trPr>
          <w:trHeight w:val="240"/>
        </w:trPr>
        <w:tc>
          <w:tcPr>
            <w:tcW w:w="3799" w:type="dxa"/>
            <w:gridSpan w:val="6"/>
            <w:tcBorders>
              <w:top w:val="nil"/>
              <w:left w:val="nil"/>
              <w:bottom w:val="single" w:sz="8" w:space="0" w:color="auto"/>
              <w:right w:val="nil"/>
            </w:tcBorders>
            <w:shd w:val="clear" w:color="auto" w:fill="auto"/>
            <w:noWrap/>
            <w:vAlign w:val="bottom"/>
            <w:hideMark/>
          </w:tcPr>
          <w:p w:rsidR="00F25FCA" w:rsidRPr="00F25FCA" w:rsidRDefault="00F25FCA" w:rsidP="00DB3809">
            <w:pPr>
              <w:spacing w:before="0" w:after="0" w:line="240" w:lineRule="auto"/>
              <w:rPr>
                <w:rFonts w:ascii="Arial" w:hAnsi="Arial" w:cs="Arial"/>
                <w:b/>
                <w:sz w:val="16"/>
                <w:szCs w:val="16"/>
                <w:lang w:eastAsia="en-AU"/>
              </w:rPr>
            </w:pPr>
            <w:r>
              <w:rPr>
                <w:rFonts w:ascii="Arial" w:hAnsi="Arial" w:cs="Arial"/>
                <w:b/>
                <w:sz w:val="16"/>
                <w:szCs w:val="16"/>
                <w:lang w:eastAsia="en-AU"/>
              </w:rPr>
              <w:t>Country</w:t>
            </w:r>
            <w:r w:rsidRPr="00F25FCA">
              <w:rPr>
                <w:rFonts w:ascii="Arial" w:hAnsi="Arial" w:cs="Arial"/>
                <w:b/>
                <w:sz w:val="16"/>
                <w:szCs w:val="16"/>
                <w:lang w:eastAsia="en-AU"/>
              </w:rPr>
              <w:t xml:space="preserve"> Council</w:t>
            </w:r>
          </w:p>
        </w:tc>
        <w:tc>
          <w:tcPr>
            <w:tcW w:w="2154" w:type="dxa"/>
            <w:gridSpan w:val="7"/>
            <w:tcBorders>
              <w:top w:val="nil"/>
              <w:left w:val="nil"/>
              <w:bottom w:val="single" w:sz="8" w:space="0" w:color="auto"/>
              <w:right w:val="nil"/>
            </w:tcBorders>
            <w:shd w:val="clear" w:color="auto" w:fill="auto"/>
            <w:noWrap/>
            <w:vAlign w:val="bottom"/>
            <w:hideMark/>
          </w:tcPr>
          <w:p w:rsidR="00F25FCA" w:rsidRPr="00F25FCA" w:rsidRDefault="00F25FCA" w:rsidP="00DB3809">
            <w:pPr>
              <w:spacing w:before="0" w:after="0" w:line="240" w:lineRule="auto"/>
              <w:rPr>
                <w:rFonts w:ascii="Arial" w:hAnsi="Arial" w:cs="Arial"/>
                <w:b/>
                <w:sz w:val="16"/>
                <w:szCs w:val="16"/>
                <w:lang w:eastAsia="en-AU"/>
              </w:rPr>
            </w:pPr>
            <w:r w:rsidRPr="00F25FCA">
              <w:rPr>
                <w:rFonts w:ascii="Arial" w:hAnsi="Arial" w:cs="Arial"/>
                <w:b/>
                <w:sz w:val="16"/>
                <w:szCs w:val="16"/>
                <w:lang w:eastAsia="en-AU"/>
              </w:rPr>
              <w:t>Library Service</w:t>
            </w:r>
          </w:p>
        </w:tc>
        <w:tc>
          <w:tcPr>
            <w:tcW w:w="785" w:type="dxa"/>
            <w:gridSpan w:val="3"/>
            <w:tcBorders>
              <w:top w:val="nil"/>
              <w:left w:val="nil"/>
              <w:bottom w:val="single" w:sz="8" w:space="0" w:color="auto"/>
              <w:right w:val="nil"/>
            </w:tcBorders>
            <w:shd w:val="clear" w:color="auto" w:fill="auto"/>
            <w:noWrap/>
            <w:vAlign w:val="bottom"/>
            <w:hideMark/>
          </w:tcPr>
          <w:p w:rsidR="00F25FCA" w:rsidRPr="00F25FCA" w:rsidRDefault="00F25FCA" w:rsidP="00DB3809">
            <w:pPr>
              <w:spacing w:before="0" w:after="0" w:line="240" w:lineRule="auto"/>
              <w:rPr>
                <w:rFonts w:ascii="Arial" w:hAnsi="Arial" w:cs="Arial"/>
                <w:b/>
                <w:sz w:val="16"/>
                <w:szCs w:val="16"/>
                <w:lang w:eastAsia="en-AU"/>
              </w:rPr>
            </w:pPr>
            <w:r w:rsidRPr="00F25FCA">
              <w:rPr>
                <w:rFonts w:ascii="Arial" w:hAnsi="Arial" w:cs="Arial"/>
                <w:b/>
                <w:sz w:val="16"/>
                <w:szCs w:val="16"/>
                <w:lang w:eastAsia="en-AU"/>
              </w:rPr>
              <w:t>CODES</w:t>
            </w:r>
          </w:p>
        </w:tc>
        <w:tc>
          <w:tcPr>
            <w:tcW w:w="1100" w:type="dxa"/>
            <w:gridSpan w:val="6"/>
            <w:tcBorders>
              <w:top w:val="nil"/>
              <w:left w:val="single" w:sz="8" w:space="0" w:color="auto"/>
              <w:bottom w:val="single" w:sz="8" w:space="0" w:color="auto"/>
              <w:right w:val="nil"/>
            </w:tcBorders>
            <w:shd w:val="clear" w:color="auto" w:fill="auto"/>
            <w:noWrap/>
            <w:vAlign w:val="bottom"/>
            <w:hideMark/>
          </w:tcPr>
          <w:p w:rsidR="00F25FCA" w:rsidRPr="00F25FCA" w:rsidRDefault="00F25FCA" w:rsidP="00DB3809">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2.93%</w:t>
            </w:r>
          </w:p>
        </w:tc>
        <w:tc>
          <w:tcPr>
            <w:tcW w:w="841" w:type="dxa"/>
            <w:gridSpan w:val="5"/>
            <w:tcBorders>
              <w:top w:val="nil"/>
              <w:left w:val="nil"/>
              <w:bottom w:val="single" w:sz="8" w:space="0" w:color="auto"/>
              <w:right w:val="nil"/>
            </w:tcBorders>
            <w:shd w:val="clear" w:color="auto" w:fill="auto"/>
            <w:noWrap/>
            <w:vAlign w:val="bottom"/>
            <w:hideMark/>
          </w:tcPr>
          <w:p w:rsidR="00F25FCA" w:rsidRPr="00F25FCA" w:rsidRDefault="00BE7AA6" w:rsidP="00DB3809">
            <w:pPr>
              <w:spacing w:before="0" w:after="0" w:line="240" w:lineRule="auto"/>
              <w:jc w:val="center"/>
              <w:rPr>
                <w:rFonts w:ascii="Arial" w:hAnsi="Arial" w:cs="Arial"/>
                <w:b/>
                <w:sz w:val="16"/>
                <w:szCs w:val="16"/>
                <w:lang w:eastAsia="en-AU"/>
              </w:rPr>
            </w:pPr>
            <w:r>
              <w:rPr>
                <w:rFonts w:ascii="Arial" w:hAnsi="Arial" w:cs="Arial"/>
                <w:b/>
                <w:sz w:val="16"/>
                <w:szCs w:val="16"/>
                <w:lang w:eastAsia="en-AU"/>
              </w:rPr>
              <w:t>*</w:t>
            </w:r>
          </w:p>
        </w:tc>
        <w:tc>
          <w:tcPr>
            <w:tcW w:w="968" w:type="dxa"/>
            <w:gridSpan w:val="4"/>
            <w:tcBorders>
              <w:top w:val="nil"/>
              <w:left w:val="nil"/>
              <w:bottom w:val="single" w:sz="8" w:space="0" w:color="auto"/>
              <w:right w:val="nil"/>
            </w:tcBorders>
            <w:shd w:val="clear" w:color="auto" w:fill="auto"/>
            <w:noWrap/>
            <w:vAlign w:val="bottom"/>
            <w:hideMark/>
          </w:tcPr>
          <w:p w:rsidR="00F25FCA" w:rsidRPr="00F25FCA" w:rsidRDefault="00F25FCA" w:rsidP="00DB3809">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w:t>
            </w:r>
          </w:p>
        </w:tc>
        <w:tc>
          <w:tcPr>
            <w:tcW w:w="925" w:type="dxa"/>
            <w:gridSpan w:val="2"/>
            <w:tcBorders>
              <w:top w:val="nil"/>
              <w:left w:val="nil"/>
              <w:bottom w:val="single" w:sz="8" w:space="0" w:color="auto"/>
              <w:right w:val="nil"/>
            </w:tcBorders>
            <w:shd w:val="clear" w:color="auto" w:fill="auto"/>
            <w:noWrap/>
            <w:vAlign w:val="bottom"/>
            <w:hideMark/>
          </w:tcPr>
          <w:p w:rsidR="00F25FCA" w:rsidRPr="00F25FCA" w:rsidRDefault="00F25FCA" w:rsidP="00DB3809">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w:t>
            </w:r>
          </w:p>
        </w:tc>
      </w:tr>
      <w:tr w:rsidR="00F25FCA" w:rsidRPr="00F25FCA" w:rsidTr="00BE7AA6">
        <w:trPr>
          <w:trHeight w:val="240"/>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ALEXANDRINA COUNCIL</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Alexandrina</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C27</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2787</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480</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3,267</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0.89</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BAROSSA COUNCIL</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Barossa</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 0</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2569</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373</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2,942</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0.80</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BERRI BARMERA COUNCIL</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Berri</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C13</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757</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454</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1,211</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0.33</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BERRI BARMERA COUNCIL</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Barmera</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 4</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468</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278</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746</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0.20</w:t>
            </w:r>
          </w:p>
        </w:tc>
      </w:tr>
      <w:tr w:rsidR="00F25FCA" w:rsidRPr="00F25FCA" w:rsidTr="00BE7AA6">
        <w:trPr>
          <w:trHeight w:val="25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CLARE AND GILBERT VALLEYS COUNCIL</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 xml:space="preserve">Clare </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C17</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538</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64</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602</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0.16</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CLARE AND GILBERT VALLEYS COUNCIL</w:t>
            </w:r>
          </w:p>
        </w:tc>
        <w:tc>
          <w:tcPr>
            <w:tcW w:w="2269" w:type="dxa"/>
            <w:gridSpan w:val="7"/>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Saddl</w:t>
            </w:r>
            <w:r w:rsidR="002D130C">
              <w:rPr>
                <w:rFonts w:ascii="Arial" w:hAnsi="Arial" w:cs="Arial"/>
                <w:sz w:val="16"/>
                <w:szCs w:val="16"/>
                <w:lang w:eastAsia="en-AU"/>
              </w:rPr>
              <w:t>e</w:t>
            </w:r>
            <w:r w:rsidRPr="00F25FCA">
              <w:rPr>
                <w:rFonts w:ascii="Arial" w:hAnsi="Arial" w:cs="Arial"/>
                <w:sz w:val="16"/>
                <w:szCs w:val="16"/>
                <w:lang w:eastAsia="en-AU"/>
              </w:rPr>
              <w:t>worth Auburn</w:t>
            </w:r>
          </w:p>
        </w:tc>
        <w:tc>
          <w:tcPr>
            <w:tcW w:w="953" w:type="dxa"/>
            <w:gridSpan w:val="4"/>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C19</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314</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31</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345</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0.09</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DISTRICT COUNCIL OF COPPER COAST</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Kadina and Wallaroo</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C25</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1059</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125</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1,184</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0.32</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DISTRICT COUNCIL OF GRANT</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Port MacDonnell</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 30</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909</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111</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1,020</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0.28</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KANGAROO ISLAND COUNCIL</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Kangaroo Island</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C10</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514</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110</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624</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0.17</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LIGHT REGIONAL COUNCIL</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Light</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C18</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1612</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247</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1,858</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0.51</w:t>
            </w:r>
          </w:p>
        </w:tc>
      </w:tr>
      <w:tr w:rsidR="00F25FCA" w:rsidRPr="00F25FCA" w:rsidTr="00BE7AA6">
        <w:trPr>
          <w:trHeight w:val="25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DISTRICT COUNCIL OF LOXTON WAIKERIE</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Loxton</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C23</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802</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234</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1,036</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0.28</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DISTRICT COUNCIL OF LOXTON WAIKERIE</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Waikerie</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C14</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496</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177</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672</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0.18</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MID MURRAY COUNCIL</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Morgan</w:t>
            </w:r>
          </w:p>
        </w:tc>
        <w:tc>
          <w:tcPr>
            <w:tcW w:w="953" w:type="dxa"/>
            <w:gridSpan w:val="4"/>
            <w:tcBorders>
              <w:top w:val="nil"/>
              <w:left w:val="nil"/>
              <w:bottom w:val="nil"/>
              <w:right w:val="nil"/>
            </w:tcBorders>
            <w:shd w:val="clear" w:color="000000" w:fill="FFFFFF"/>
            <w:noWrap/>
            <w:vAlign w:val="center"/>
            <w:hideMark/>
          </w:tcPr>
          <w:p w:rsidR="00F25FCA" w:rsidRPr="00F25FCA" w:rsidRDefault="00BF65C9" w:rsidP="00BF65C9">
            <w:pPr>
              <w:spacing w:before="0" w:after="0" w:line="240" w:lineRule="auto"/>
              <w:jc w:val="center"/>
              <w:rPr>
                <w:rFonts w:ascii="Arial" w:hAnsi="Arial" w:cs="Arial"/>
                <w:sz w:val="16"/>
                <w:szCs w:val="16"/>
                <w:lang w:eastAsia="en-AU"/>
              </w:rPr>
            </w:pPr>
            <w:r>
              <w:rPr>
                <w:rFonts w:ascii="Arial" w:hAnsi="Arial" w:cs="Arial"/>
                <w:sz w:val="16"/>
                <w:szCs w:val="16"/>
                <w:lang w:eastAsia="en-AU"/>
              </w:rPr>
              <w:t>C14M</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288</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24</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312</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0.09</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DISTRICT COUNCIL OF MALLALA</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Two Wells</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C26</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971</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302</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1,273</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0.35</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MOUNT GAMBIER</w:t>
            </w:r>
          </w:p>
        </w:tc>
        <w:tc>
          <w:tcPr>
            <w:tcW w:w="2269" w:type="dxa"/>
            <w:gridSpan w:val="7"/>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Mount Gambier</w:t>
            </w:r>
          </w:p>
        </w:tc>
        <w:tc>
          <w:tcPr>
            <w:tcW w:w="953" w:type="dxa"/>
            <w:gridSpan w:val="4"/>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center"/>
              <w:rPr>
                <w:rFonts w:ascii="Arial" w:hAnsi="Arial" w:cs="Arial"/>
                <w:sz w:val="16"/>
                <w:szCs w:val="16"/>
                <w:lang w:eastAsia="en-AU"/>
              </w:rPr>
            </w:pPr>
            <w:r w:rsidRPr="00F25FCA">
              <w:rPr>
                <w:rFonts w:ascii="Arial" w:hAnsi="Arial" w:cs="Arial"/>
                <w:sz w:val="16"/>
                <w:szCs w:val="16"/>
                <w:lang w:eastAsia="en-AU"/>
              </w:rPr>
              <w:t>C 8</w:t>
            </w:r>
          </w:p>
        </w:tc>
        <w:tc>
          <w:tcPr>
            <w:tcW w:w="1031" w:type="dxa"/>
            <w:gridSpan w:val="5"/>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2942</w:t>
            </w:r>
          </w:p>
        </w:tc>
        <w:tc>
          <w:tcPr>
            <w:tcW w:w="610" w:type="dxa"/>
            <w:gridSpan w:val="3"/>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927</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3,869</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1.05</w:t>
            </w:r>
          </w:p>
        </w:tc>
      </w:tr>
      <w:tr w:rsidR="00BF65C9" w:rsidRPr="00F25FCA" w:rsidTr="00BE7AA6">
        <w:trPr>
          <w:trHeight w:val="675"/>
        </w:trPr>
        <w:tc>
          <w:tcPr>
            <w:tcW w:w="3799" w:type="dxa"/>
            <w:gridSpan w:val="6"/>
            <w:tcBorders>
              <w:top w:val="nil"/>
              <w:left w:val="nil"/>
              <w:bottom w:val="nil"/>
              <w:right w:val="nil"/>
            </w:tcBorders>
            <w:shd w:val="clear" w:color="auto" w:fill="auto"/>
            <w:noWrap/>
            <w:vAlign w:val="bottom"/>
            <w:hideMark/>
          </w:tcPr>
          <w:p w:rsidR="00BF65C9" w:rsidRPr="00F25FCA" w:rsidRDefault="00BF65C9" w:rsidP="00BF65C9">
            <w:pPr>
              <w:spacing w:before="0" w:after="0" w:line="240" w:lineRule="auto"/>
              <w:rPr>
                <w:rFonts w:ascii="Arial" w:hAnsi="Arial" w:cs="Arial"/>
                <w:b/>
                <w:bCs/>
                <w:i/>
                <w:iCs/>
                <w:sz w:val="16"/>
                <w:szCs w:val="16"/>
                <w:lang w:eastAsia="en-AU"/>
              </w:rPr>
            </w:pPr>
          </w:p>
        </w:tc>
        <w:tc>
          <w:tcPr>
            <w:tcW w:w="2154" w:type="dxa"/>
            <w:gridSpan w:val="7"/>
            <w:tcBorders>
              <w:top w:val="nil"/>
              <w:left w:val="nil"/>
              <w:bottom w:val="nil"/>
              <w:right w:val="nil"/>
            </w:tcBorders>
            <w:shd w:val="clear" w:color="auto" w:fill="auto"/>
            <w:noWrap/>
            <w:vAlign w:val="bottom"/>
            <w:hideMark/>
          </w:tcPr>
          <w:p w:rsidR="00BF65C9" w:rsidRPr="00F25FCA" w:rsidRDefault="00BF65C9" w:rsidP="00BF65C9">
            <w:pPr>
              <w:spacing w:before="0" w:after="0" w:line="240" w:lineRule="auto"/>
              <w:rPr>
                <w:rFonts w:ascii="Arial" w:hAnsi="Arial" w:cs="Arial"/>
                <w:b/>
                <w:bCs/>
                <w:sz w:val="16"/>
                <w:szCs w:val="16"/>
                <w:lang w:eastAsia="en-AU"/>
              </w:rPr>
            </w:pPr>
          </w:p>
        </w:tc>
        <w:tc>
          <w:tcPr>
            <w:tcW w:w="785" w:type="dxa"/>
            <w:gridSpan w:val="3"/>
            <w:tcBorders>
              <w:top w:val="nil"/>
              <w:left w:val="nil"/>
              <w:bottom w:val="nil"/>
              <w:right w:val="nil"/>
            </w:tcBorders>
            <w:shd w:val="clear" w:color="auto" w:fill="auto"/>
            <w:noWrap/>
            <w:vAlign w:val="bottom"/>
            <w:hideMark/>
          </w:tcPr>
          <w:p w:rsidR="00BF65C9" w:rsidRPr="00F25FCA" w:rsidRDefault="00BF65C9" w:rsidP="00BF65C9">
            <w:pPr>
              <w:spacing w:before="0" w:after="0" w:line="240" w:lineRule="auto"/>
              <w:rPr>
                <w:rFonts w:ascii="Arial" w:hAnsi="Arial" w:cs="Arial"/>
                <w:b/>
                <w:bCs/>
                <w:sz w:val="16"/>
                <w:szCs w:val="16"/>
                <w:lang w:eastAsia="en-AU"/>
              </w:rPr>
            </w:pPr>
          </w:p>
        </w:tc>
        <w:tc>
          <w:tcPr>
            <w:tcW w:w="1100" w:type="dxa"/>
            <w:gridSpan w:val="6"/>
            <w:tcBorders>
              <w:top w:val="nil"/>
              <w:left w:val="single" w:sz="8" w:space="0" w:color="auto"/>
              <w:bottom w:val="nil"/>
              <w:right w:val="nil"/>
            </w:tcBorders>
            <w:shd w:val="clear" w:color="auto" w:fill="auto"/>
            <w:vAlign w:val="bottom"/>
            <w:hideMark/>
          </w:tcPr>
          <w:p w:rsidR="00BF65C9" w:rsidRPr="00F25FCA" w:rsidRDefault="00BF65C9" w:rsidP="00BF65C9">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COMM LANG LEVY</w:t>
            </w:r>
          </w:p>
        </w:tc>
        <w:tc>
          <w:tcPr>
            <w:tcW w:w="841" w:type="dxa"/>
            <w:gridSpan w:val="5"/>
            <w:tcBorders>
              <w:top w:val="nil"/>
              <w:left w:val="nil"/>
              <w:bottom w:val="nil"/>
              <w:right w:val="nil"/>
            </w:tcBorders>
            <w:shd w:val="clear" w:color="auto" w:fill="auto"/>
            <w:vAlign w:val="bottom"/>
            <w:hideMark/>
          </w:tcPr>
          <w:p w:rsidR="00BF65C9" w:rsidRPr="00F25FCA" w:rsidRDefault="00BF65C9" w:rsidP="00BF65C9">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 xml:space="preserve">COMM </w:t>
            </w:r>
            <w:r w:rsidR="0035582E">
              <w:rPr>
                <w:rFonts w:ascii="Arial" w:hAnsi="Arial" w:cs="Arial"/>
                <w:b/>
                <w:bCs/>
                <w:sz w:val="16"/>
                <w:szCs w:val="16"/>
                <w:lang w:eastAsia="en-AU"/>
              </w:rPr>
              <w:t>*</w:t>
            </w:r>
            <w:r w:rsidRPr="00F25FCA">
              <w:rPr>
                <w:rFonts w:ascii="Arial" w:hAnsi="Arial" w:cs="Arial"/>
                <w:b/>
                <w:bCs/>
                <w:sz w:val="16"/>
                <w:szCs w:val="16"/>
                <w:lang w:eastAsia="en-AU"/>
              </w:rPr>
              <w:t>LANG OTHER</w:t>
            </w:r>
          </w:p>
        </w:tc>
        <w:tc>
          <w:tcPr>
            <w:tcW w:w="968" w:type="dxa"/>
            <w:gridSpan w:val="4"/>
            <w:tcBorders>
              <w:top w:val="nil"/>
              <w:left w:val="nil"/>
              <w:bottom w:val="nil"/>
              <w:right w:val="nil"/>
            </w:tcBorders>
            <w:shd w:val="clear" w:color="auto" w:fill="auto"/>
            <w:noWrap/>
            <w:vAlign w:val="bottom"/>
            <w:hideMark/>
          </w:tcPr>
          <w:p w:rsidR="00BF65C9" w:rsidRPr="00F25FCA" w:rsidRDefault="00BF65C9" w:rsidP="00BF65C9">
            <w:pPr>
              <w:spacing w:before="0" w:after="0" w:line="240" w:lineRule="auto"/>
              <w:rPr>
                <w:rFonts w:ascii="Arial" w:hAnsi="Arial" w:cs="Arial"/>
                <w:b/>
                <w:bCs/>
                <w:sz w:val="16"/>
                <w:szCs w:val="16"/>
                <w:lang w:eastAsia="en-AU"/>
              </w:rPr>
            </w:pPr>
            <w:r w:rsidRPr="00F25FCA">
              <w:rPr>
                <w:rFonts w:ascii="Arial" w:hAnsi="Arial" w:cs="Arial"/>
                <w:b/>
                <w:bCs/>
                <w:sz w:val="16"/>
                <w:szCs w:val="16"/>
                <w:lang w:eastAsia="en-AU"/>
              </w:rPr>
              <w:t>TOTAL</w:t>
            </w:r>
          </w:p>
        </w:tc>
        <w:tc>
          <w:tcPr>
            <w:tcW w:w="925" w:type="dxa"/>
            <w:gridSpan w:val="2"/>
            <w:tcBorders>
              <w:top w:val="nil"/>
              <w:left w:val="nil"/>
              <w:bottom w:val="nil"/>
              <w:right w:val="nil"/>
            </w:tcBorders>
            <w:shd w:val="clear" w:color="auto" w:fill="auto"/>
            <w:vAlign w:val="bottom"/>
            <w:hideMark/>
          </w:tcPr>
          <w:p w:rsidR="00BF65C9" w:rsidRPr="00F25FCA" w:rsidRDefault="00BF65C9" w:rsidP="00BF65C9">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 OF TOTAL LEVY</w:t>
            </w:r>
          </w:p>
        </w:tc>
      </w:tr>
      <w:tr w:rsidR="00BF65C9" w:rsidRPr="00F25FCA" w:rsidTr="00BE7AA6">
        <w:trPr>
          <w:trHeight w:val="240"/>
        </w:trPr>
        <w:tc>
          <w:tcPr>
            <w:tcW w:w="3799" w:type="dxa"/>
            <w:gridSpan w:val="6"/>
            <w:tcBorders>
              <w:top w:val="nil"/>
              <w:left w:val="nil"/>
              <w:bottom w:val="single" w:sz="8" w:space="0" w:color="auto"/>
              <w:right w:val="nil"/>
            </w:tcBorders>
            <w:shd w:val="clear" w:color="auto" w:fill="auto"/>
            <w:noWrap/>
            <w:vAlign w:val="bottom"/>
            <w:hideMark/>
          </w:tcPr>
          <w:p w:rsidR="00BF65C9" w:rsidRPr="00F25FCA" w:rsidRDefault="00BF65C9" w:rsidP="00BF65C9">
            <w:pPr>
              <w:spacing w:before="0" w:after="0" w:line="240" w:lineRule="auto"/>
              <w:rPr>
                <w:rFonts w:ascii="Arial" w:hAnsi="Arial" w:cs="Arial"/>
                <w:b/>
                <w:sz w:val="16"/>
                <w:szCs w:val="16"/>
                <w:lang w:eastAsia="en-AU"/>
              </w:rPr>
            </w:pPr>
            <w:r>
              <w:rPr>
                <w:rFonts w:ascii="Arial" w:hAnsi="Arial" w:cs="Arial"/>
                <w:b/>
                <w:sz w:val="16"/>
                <w:szCs w:val="16"/>
                <w:lang w:eastAsia="en-AU"/>
              </w:rPr>
              <w:t>Country</w:t>
            </w:r>
            <w:r w:rsidRPr="00F25FCA">
              <w:rPr>
                <w:rFonts w:ascii="Arial" w:hAnsi="Arial" w:cs="Arial"/>
                <w:b/>
                <w:sz w:val="16"/>
                <w:szCs w:val="16"/>
                <w:lang w:eastAsia="en-AU"/>
              </w:rPr>
              <w:t xml:space="preserve"> Council</w:t>
            </w:r>
          </w:p>
        </w:tc>
        <w:tc>
          <w:tcPr>
            <w:tcW w:w="2154" w:type="dxa"/>
            <w:gridSpan w:val="7"/>
            <w:tcBorders>
              <w:top w:val="nil"/>
              <w:left w:val="nil"/>
              <w:bottom w:val="single" w:sz="8" w:space="0" w:color="auto"/>
              <w:right w:val="nil"/>
            </w:tcBorders>
            <w:shd w:val="clear" w:color="auto" w:fill="auto"/>
            <w:noWrap/>
            <w:vAlign w:val="bottom"/>
            <w:hideMark/>
          </w:tcPr>
          <w:p w:rsidR="00BF65C9" w:rsidRPr="00F25FCA" w:rsidRDefault="00BF65C9" w:rsidP="00BF65C9">
            <w:pPr>
              <w:spacing w:before="0" w:after="0" w:line="240" w:lineRule="auto"/>
              <w:rPr>
                <w:rFonts w:ascii="Arial" w:hAnsi="Arial" w:cs="Arial"/>
                <w:b/>
                <w:sz w:val="16"/>
                <w:szCs w:val="16"/>
                <w:lang w:eastAsia="en-AU"/>
              </w:rPr>
            </w:pPr>
            <w:r w:rsidRPr="00F25FCA">
              <w:rPr>
                <w:rFonts w:ascii="Arial" w:hAnsi="Arial" w:cs="Arial"/>
                <w:b/>
                <w:sz w:val="16"/>
                <w:szCs w:val="16"/>
                <w:lang w:eastAsia="en-AU"/>
              </w:rPr>
              <w:t>Library Service</w:t>
            </w:r>
          </w:p>
        </w:tc>
        <w:tc>
          <w:tcPr>
            <w:tcW w:w="785" w:type="dxa"/>
            <w:gridSpan w:val="3"/>
            <w:tcBorders>
              <w:top w:val="nil"/>
              <w:left w:val="nil"/>
              <w:bottom w:val="single" w:sz="8" w:space="0" w:color="auto"/>
              <w:right w:val="nil"/>
            </w:tcBorders>
            <w:shd w:val="clear" w:color="auto" w:fill="auto"/>
            <w:noWrap/>
            <w:vAlign w:val="bottom"/>
            <w:hideMark/>
          </w:tcPr>
          <w:p w:rsidR="00BF65C9" w:rsidRPr="00F25FCA" w:rsidRDefault="00BF65C9" w:rsidP="00BF65C9">
            <w:pPr>
              <w:spacing w:before="0" w:after="0" w:line="240" w:lineRule="auto"/>
              <w:rPr>
                <w:rFonts w:ascii="Arial" w:hAnsi="Arial" w:cs="Arial"/>
                <w:b/>
                <w:sz w:val="16"/>
                <w:szCs w:val="16"/>
                <w:lang w:eastAsia="en-AU"/>
              </w:rPr>
            </w:pPr>
            <w:r w:rsidRPr="00F25FCA">
              <w:rPr>
                <w:rFonts w:ascii="Arial" w:hAnsi="Arial" w:cs="Arial"/>
                <w:b/>
                <w:sz w:val="16"/>
                <w:szCs w:val="16"/>
                <w:lang w:eastAsia="en-AU"/>
              </w:rPr>
              <w:t>CODES</w:t>
            </w:r>
          </w:p>
        </w:tc>
        <w:tc>
          <w:tcPr>
            <w:tcW w:w="1100" w:type="dxa"/>
            <w:gridSpan w:val="6"/>
            <w:tcBorders>
              <w:top w:val="nil"/>
              <w:left w:val="single" w:sz="8" w:space="0" w:color="auto"/>
              <w:bottom w:val="single" w:sz="8" w:space="0" w:color="auto"/>
              <w:right w:val="nil"/>
            </w:tcBorders>
            <w:shd w:val="clear" w:color="auto" w:fill="auto"/>
            <w:noWrap/>
            <w:vAlign w:val="bottom"/>
            <w:hideMark/>
          </w:tcPr>
          <w:p w:rsidR="00BF65C9" w:rsidRPr="00F25FCA" w:rsidRDefault="00BF65C9" w:rsidP="00BF65C9">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2.93%</w:t>
            </w:r>
          </w:p>
        </w:tc>
        <w:tc>
          <w:tcPr>
            <w:tcW w:w="841" w:type="dxa"/>
            <w:gridSpan w:val="5"/>
            <w:tcBorders>
              <w:top w:val="nil"/>
              <w:left w:val="nil"/>
              <w:bottom w:val="single" w:sz="8" w:space="0" w:color="auto"/>
              <w:right w:val="nil"/>
            </w:tcBorders>
            <w:shd w:val="clear" w:color="auto" w:fill="auto"/>
            <w:noWrap/>
            <w:vAlign w:val="bottom"/>
            <w:hideMark/>
          </w:tcPr>
          <w:p w:rsidR="00BF65C9" w:rsidRPr="00F25FCA" w:rsidRDefault="00BF65C9" w:rsidP="00BF65C9">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2.47%</w:t>
            </w:r>
          </w:p>
        </w:tc>
        <w:tc>
          <w:tcPr>
            <w:tcW w:w="968" w:type="dxa"/>
            <w:gridSpan w:val="4"/>
            <w:tcBorders>
              <w:top w:val="nil"/>
              <w:left w:val="nil"/>
              <w:bottom w:val="single" w:sz="8" w:space="0" w:color="auto"/>
              <w:right w:val="nil"/>
            </w:tcBorders>
            <w:shd w:val="clear" w:color="auto" w:fill="auto"/>
            <w:noWrap/>
            <w:vAlign w:val="bottom"/>
            <w:hideMark/>
          </w:tcPr>
          <w:p w:rsidR="00BF65C9" w:rsidRPr="00F25FCA" w:rsidRDefault="00BF65C9" w:rsidP="00BF65C9">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w:t>
            </w:r>
          </w:p>
        </w:tc>
        <w:tc>
          <w:tcPr>
            <w:tcW w:w="925" w:type="dxa"/>
            <w:gridSpan w:val="2"/>
            <w:tcBorders>
              <w:top w:val="nil"/>
              <w:left w:val="nil"/>
              <w:bottom w:val="single" w:sz="8" w:space="0" w:color="auto"/>
              <w:right w:val="nil"/>
            </w:tcBorders>
            <w:shd w:val="clear" w:color="auto" w:fill="auto"/>
            <w:noWrap/>
            <w:vAlign w:val="bottom"/>
            <w:hideMark/>
          </w:tcPr>
          <w:p w:rsidR="00BF65C9" w:rsidRPr="00F25FCA" w:rsidRDefault="00BF65C9" w:rsidP="00BF65C9">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RURAL CITY OF MURRAY BRIDGE</w:t>
            </w:r>
          </w:p>
        </w:tc>
        <w:tc>
          <w:tcPr>
            <w:tcW w:w="1998"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Murray Bridge</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 9</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2325</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1021</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3,346</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0.91</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NARACOORTE LUCINDALE COUNCIL</w:t>
            </w:r>
          </w:p>
        </w:tc>
        <w:tc>
          <w:tcPr>
            <w:tcW w:w="1998"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Naracoorte</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C12</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795</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287</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1,082</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0.29</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FLINDERS MOBILE LIBRARY SERVICE</w:t>
            </w:r>
          </w:p>
        </w:tc>
        <w:tc>
          <w:tcPr>
            <w:tcW w:w="1998"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Flinders Mobile</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C16</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699</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217</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916</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0.25</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OUTBACK AREA COMMUNITY DEVELOPMENT TRUST</w:t>
            </w:r>
          </w:p>
        </w:tc>
        <w:tc>
          <w:tcPr>
            <w:tcW w:w="1998"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Outback Areas</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 </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320</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320</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0.09</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 xml:space="preserve">DISTRICT COUNCIL OF PETERBOROUGH </w:t>
            </w:r>
          </w:p>
        </w:tc>
        <w:tc>
          <w:tcPr>
            <w:tcW w:w="1998"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Peterborough</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C21</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295</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18</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313</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0.09</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PORT AUGUSTA CITY COUNCIL</w:t>
            </w:r>
          </w:p>
        </w:tc>
        <w:tc>
          <w:tcPr>
            <w:tcW w:w="1998"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Pt Augusta</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 7</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1652</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428</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2,080</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0.57</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PORT LINCOLN</w:t>
            </w:r>
          </w:p>
        </w:tc>
        <w:tc>
          <w:tcPr>
            <w:tcW w:w="1998"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Pt Lincoln</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C11</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1662</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351</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2,013</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0.55</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PORT PIRIE REGIONAL COUNCIL</w:t>
            </w:r>
          </w:p>
        </w:tc>
        <w:tc>
          <w:tcPr>
            <w:tcW w:w="1998"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Pt Pirie</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 2</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1919</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399</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2,318</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0.63</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RENMARK PARINGA COUNCIL</w:t>
            </w:r>
          </w:p>
        </w:tc>
        <w:tc>
          <w:tcPr>
            <w:tcW w:w="1998"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Renmark and Paringa</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C24</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1068</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958</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2,026</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0.55</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DISTRICT COUNCIL OF ROBE</w:t>
            </w:r>
          </w:p>
        </w:tc>
        <w:tc>
          <w:tcPr>
            <w:tcW w:w="1998"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Robe</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C22</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279</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15</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294</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0.08</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MUNICIPAL COUNCIL OF ROXBY DOWNS</w:t>
            </w:r>
          </w:p>
        </w:tc>
        <w:tc>
          <w:tcPr>
            <w:tcW w:w="1998"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Roxby Downs</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C28</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545</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278</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824</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0.22</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TATIARA DISTRICT COUNCIL</w:t>
            </w:r>
          </w:p>
        </w:tc>
        <w:tc>
          <w:tcPr>
            <w:tcW w:w="1998"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Bordertown</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C20</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501</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186</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687</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0.19</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CITY OF VICTOR HARBOR</w:t>
            </w:r>
          </w:p>
        </w:tc>
        <w:tc>
          <w:tcPr>
            <w:tcW w:w="1998"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Victor Harbor</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C15</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1625</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275</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1,900</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0.52</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WATTLE RANGE COUNCIL</w:t>
            </w:r>
          </w:p>
        </w:tc>
        <w:tc>
          <w:tcPr>
            <w:tcW w:w="1998"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Millicent</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 6</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1132</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180</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1,312</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0.36</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CORPORATION OF THE CITY OF WHYALLA</w:t>
            </w:r>
          </w:p>
        </w:tc>
        <w:tc>
          <w:tcPr>
            <w:tcW w:w="1998"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Whyalla</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 3</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2583</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965</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3,548</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0.97</w:t>
            </w:r>
          </w:p>
        </w:tc>
      </w:tr>
      <w:tr w:rsidR="00F25FCA" w:rsidRPr="00F25FCA" w:rsidTr="00BE7AA6">
        <w:trPr>
          <w:trHeight w:val="225"/>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WOOMERA</w:t>
            </w:r>
          </w:p>
        </w:tc>
        <w:tc>
          <w:tcPr>
            <w:tcW w:w="1998"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Woomera</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C 5</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122</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8</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129</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0.04</w:t>
            </w:r>
          </w:p>
        </w:tc>
      </w:tr>
      <w:tr w:rsidR="00F25FCA" w:rsidRPr="00F25FCA" w:rsidTr="00BE7AA6">
        <w:trPr>
          <w:trHeight w:val="240"/>
        </w:trPr>
        <w:tc>
          <w:tcPr>
            <w:tcW w:w="3516" w:type="dxa"/>
            <w:gridSpan w:val="5"/>
            <w:tcBorders>
              <w:top w:val="nil"/>
              <w:left w:val="nil"/>
              <w:bottom w:val="nil"/>
              <w:right w:val="nil"/>
            </w:tcBorders>
            <w:shd w:val="clear" w:color="000000" w:fill="FFFFFF"/>
            <w:noWrap/>
            <w:vAlign w:val="bottom"/>
            <w:hideMark/>
          </w:tcPr>
          <w:p w:rsidR="00F25FCA" w:rsidRPr="00F25FCA" w:rsidRDefault="00F25FCA" w:rsidP="00F25FCA">
            <w:pPr>
              <w:spacing w:before="0" w:after="0" w:line="240" w:lineRule="auto"/>
              <w:rPr>
                <w:rFonts w:ascii="Arial" w:hAnsi="Arial" w:cs="Arial"/>
                <w:sz w:val="16"/>
                <w:szCs w:val="16"/>
                <w:lang w:eastAsia="en-AU"/>
              </w:rPr>
            </w:pPr>
            <w:r w:rsidRPr="00F25FCA">
              <w:rPr>
                <w:rFonts w:ascii="Arial" w:hAnsi="Arial" w:cs="Arial"/>
                <w:sz w:val="16"/>
                <w:szCs w:val="16"/>
                <w:lang w:eastAsia="en-AU"/>
              </w:rPr>
              <w:t>ABORIGINAL LANDS</w:t>
            </w:r>
          </w:p>
        </w:tc>
        <w:tc>
          <w:tcPr>
            <w:tcW w:w="1998" w:type="dxa"/>
            <w:gridSpan w:val="5"/>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Aboriginal Lands</w:t>
            </w:r>
          </w:p>
        </w:tc>
        <w:tc>
          <w:tcPr>
            <w:tcW w:w="1224" w:type="dxa"/>
            <w:gridSpan w:val="6"/>
            <w:tcBorders>
              <w:top w:val="nil"/>
              <w:left w:val="nil"/>
              <w:bottom w:val="nil"/>
              <w:right w:val="nil"/>
            </w:tcBorders>
            <w:shd w:val="clear" w:color="000000" w:fill="FFFFFF"/>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 </w:t>
            </w:r>
          </w:p>
        </w:tc>
        <w:tc>
          <w:tcPr>
            <w:tcW w:w="661" w:type="dxa"/>
            <w:gridSpan w:val="2"/>
            <w:tcBorders>
              <w:top w:val="nil"/>
              <w:left w:val="single" w:sz="8" w:space="0" w:color="auto"/>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345</w:t>
            </w:r>
          </w:p>
        </w:tc>
        <w:tc>
          <w:tcPr>
            <w:tcW w:w="980"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w:t>
            </w:r>
          </w:p>
        </w:tc>
        <w:tc>
          <w:tcPr>
            <w:tcW w:w="1109" w:type="dxa"/>
            <w:gridSpan w:val="6"/>
            <w:tcBorders>
              <w:top w:val="nil"/>
              <w:left w:val="nil"/>
              <w:bottom w:val="nil"/>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345</w:t>
            </w:r>
          </w:p>
        </w:tc>
        <w:tc>
          <w:tcPr>
            <w:tcW w:w="1084" w:type="dxa"/>
            <w:gridSpan w:val="3"/>
            <w:tcBorders>
              <w:top w:val="nil"/>
              <w:left w:val="nil"/>
              <w:bottom w:val="nil"/>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sz w:val="16"/>
                <w:szCs w:val="16"/>
                <w:lang w:eastAsia="en-AU"/>
              </w:rPr>
            </w:pPr>
            <w:r w:rsidRPr="00F25FCA">
              <w:rPr>
                <w:rFonts w:ascii="Arial" w:hAnsi="Arial" w:cs="Arial"/>
                <w:sz w:val="16"/>
                <w:szCs w:val="16"/>
                <w:lang w:eastAsia="en-AU"/>
              </w:rPr>
              <w:t>0.09</w:t>
            </w:r>
          </w:p>
        </w:tc>
      </w:tr>
      <w:tr w:rsidR="00F25FCA" w:rsidRPr="00F25FCA" w:rsidTr="00BE7AA6">
        <w:trPr>
          <w:trHeight w:val="240"/>
        </w:trPr>
        <w:tc>
          <w:tcPr>
            <w:tcW w:w="3516" w:type="dxa"/>
            <w:gridSpan w:val="5"/>
            <w:tcBorders>
              <w:top w:val="nil"/>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bCs/>
                <w:sz w:val="16"/>
                <w:szCs w:val="16"/>
                <w:lang w:eastAsia="en-AU"/>
              </w:rPr>
            </w:pPr>
            <w:r w:rsidRPr="00F25FCA">
              <w:rPr>
                <w:rFonts w:ascii="Arial" w:hAnsi="Arial" w:cs="Arial"/>
                <w:b/>
                <w:bCs/>
                <w:sz w:val="16"/>
                <w:szCs w:val="16"/>
                <w:lang w:eastAsia="en-AU"/>
              </w:rPr>
              <w:t>COUNTRY</w:t>
            </w:r>
          </w:p>
        </w:tc>
        <w:tc>
          <w:tcPr>
            <w:tcW w:w="1998" w:type="dxa"/>
            <w:gridSpan w:val="5"/>
            <w:tcBorders>
              <w:top w:val="nil"/>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bCs/>
                <w:sz w:val="16"/>
                <w:szCs w:val="16"/>
                <w:lang w:eastAsia="en-AU"/>
              </w:rPr>
            </w:pPr>
            <w:r w:rsidRPr="00F25FCA">
              <w:rPr>
                <w:rFonts w:ascii="Arial" w:hAnsi="Arial" w:cs="Arial"/>
                <w:b/>
                <w:bCs/>
                <w:sz w:val="16"/>
                <w:szCs w:val="16"/>
                <w:lang w:eastAsia="en-AU"/>
              </w:rPr>
              <w:t> </w:t>
            </w:r>
          </w:p>
        </w:tc>
        <w:tc>
          <w:tcPr>
            <w:tcW w:w="1224" w:type="dxa"/>
            <w:gridSpan w:val="6"/>
            <w:tcBorders>
              <w:top w:val="nil"/>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rPr>
                <w:rFonts w:ascii="Arial" w:hAnsi="Arial" w:cs="Arial"/>
                <w:b/>
                <w:bCs/>
                <w:sz w:val="16"/>
                <w:szCs w:val="16"/>
                <w:lang w:eastAsia="en-AU"/>
              </w:rPr>
            </w:pPr>
            <w:r w:rsidRPr="00F25FCA">
              <w:rPr>
                <w:rFonts w:ascii="Arial" w:hAnsi="Arial" w:cs="Arial"/>
                <w:b/>
                <w:bCs/>
                <w:sz w:val="16"/>
                <w:szCs w:val="16"/>
                <w:lang w:eastAsia="en-AU"/>
              </w:rPr>
              <w:t> </w:t>
            </w:r>
          </w:p>
        </w:tc>
        <w:tc>
          <w:tcPr>
            <w:tcW w:w="661" w:type="dxa"/>
            <w:gridSpan w:val="2"/>
            <w:tcBorders>
              <w:top w:val="single" w:sz="8" w:space="0" w:color="auto"/>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b/>
                <w:bCs/>
                <w:sz w:val="16"/>
                <w:szCs w:val="16"/>
                <w:lang w:eastAsia="en-AU"/>
              </w:rPr>
            </w:pPr>
            <w:r w:rsidRPr="00F25FCA">
              <w:rPr>
                <w:rFonts w:ascii="Arial" w:hAnsi="Arial" w:cs="Arial"/>
                <w:b/>
                <w:bCs/>
                <w:sz w:val="16"/>
                <w:szCs w:val="16"/>
                <w:lang w:eastAsia="en-AU"/>
              </w:rPr>
              <w:t>34893</w:t>
            </w:r>
          </w:p>
        </w:tc>
        <w:tc>
          <w:tcPr>
            <w:tcW w:w="980" w:type="dxa"/>
            <w:gridSpan w:val="6"/>
            <w:tcBorders>
              <w:top w:val="single" w:sz="8" w:space="0" w:color="auto"/>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b/>
                <w:bCs/>
                <w:sz w:val="16"/>
                <w:szCs w:val="16"/>
                <w:lang w:eastAsia="en-AU"/>
              </w:rPr>
            </w:pPr>
            <w:r w:rsidRPr="00F25FCA">
              <w:rPr>
                <w:rFonts w:ascii="Arial" w:hAnsi="Arial" w:cs="Arial"/>
                <w:b/>
                <w:bCs/>
                <w:sz w:val="16"/>
                <w:szCs w:val="16"/>
                <w:lang w:eastAsia="en-AU"/>
              </w:rPr>
              <w:t>9524</w:t>
            </w:r>
          </w:p>
        </w:tc>
        <w:tc>
          <w:tcPr>
            <w:tcW w:w="1109" w:type="dxa"/>
            <w:gridSpan w:val="6"/>
            <w:tcBorders>
              <w:top w:val="single" w:sz="8" w:space="0" w:color="auto"/>
              <w:left w:val="nil"/>
              <w:bottom w:val="single" w:sz="8" w:space="0" w:color="auto"/>
              <w:right w:val="nil"/>
            </w:tcBorders>
            <w:shd w:val="clear" w:color="auto" w:fill="auto"/>
            <w:noWrap/>
            <w:vAlign w:val="bottom"/>
            <w:hideMark/>
          </w:tcPr>
          <w:p w:rsidR="00F25FCA" w:rsidRPr="00F25FCA" w:rsidRDefault="00F25FCA" w:rsidP="00F25FCA">
            <w:pPr>
              <w:spacing w:before="0" w:after="0" w:line="240" w:lineRule="auto"/>
              <w:jc w:val="right"/>
              <w:rPr>
                <w:rFonts w:ascii="Arial" w:hAnsi="Arial" w:cs="Arial"/>
                <w:b/>
                <w:bCs/>
                <w:sz w:val="16"/>
                <w:szCs w:val="16"/>
                <w:lang w:eastAsia="en-AU"/>
              </w:rPr>
            </w:pPr>
            <w:r w:rsidRPr="00F25FCA">
              <w:rPr>
                <w:rFonts w:ascii="Arial" w:hAnsi="Arial" w:cs="Arial"/>
                <w:b/>
                <w:bCs/>
                <w:sz w:val="16"/>
                <w:szCs w:val="16"/>
                <w:lang w:eastAsia="en-AU"/>
              </w:rPr>
              <w:t>44417</w:t>
            </w:r>
          </w:p>
        </w:tc>
        <w:tc>
          <w:tcPr>
            <w:tcW w:w="1084" w:type="dxa"/>
            <w:gridSpan w:val="3"/>
            <w:tcBorders>
              <w:top w:val="single" w:sz="8" w:space="0" w:color="auto"/>
              <w:left w:val="nil"/>
              <w:bottom w:val="single" w:sz="8" w:space="0" w:color="auto"/>
              <w:right w:val="nil"/>
            </w:tcBorders>
            <w:shd w:val="clear" w:color="auto" w:fill="auto"/>
            <w:noWrap/>
            <w:vAlign w:val="center"/>
            <w:hideMark/>
          </w:tcPr>
          <w:p w:rsidR="00F25FCA" w:rsidRPr="00F25FCA" w:rsidRDefault="00F25FCA" w:rsidP="00BF65C9">
            <w:pPr>
              <w:spacing w:before="0" w:after="0" w:line="240" w:lineRule="auto"/>
              <w:jc w:val="right"/>
              <w:rPr>
                <w:rFonts w:ascii="Arial" w:hAnsi="Arial" w:cs="Arial"/>
                <w:b/>
                <w:bCs/>
                <w:sz w:val="16"/>
                <w:szCs w:val="16"/>
                <w:lang w:eastAsia="en-AU"/>
              </w:rPr>
            </w:pPr>
            <w:r w:rsidRPr="00F25FCA">
              <w:rPr>
                <w:rFonts w:ascii="Arial" w:hAnsi="Arial" w:cs="Arial"/>
                <w:b/>
                <w:bCs/>
                <w:sz w:val="16"/>
                <w:szCs w:val="16"/>
                <w:lang w:eastAsia="en-AU"/>
              </w:rPr>
              <w:t>12.09</w:t>
            </w:r>
          </w:p>
        </w:tc>
      </w:tr>
      <w:tr w:rsidR="00BE06C6" w:rsidRPr="00F25FCA" w:rsidTr="00BE7AA6">
        <w:trPr>
          <w:trHeight w:val="240"/>
        </w:trPr>
        <w:tc>
          <w:tcPr>
            <w:tcW w:w="3516" w:type="dxa"/>
            <w:gridSpan w:val="5"/>
            <w:tcBorders>
              <w:top w:val="nil"/>
              <w:left w:val="nil"/>
              <w:bottom w:val="single" w:sz="8" w:space="0" w:color="auto"/>
              <w:right w:val="nil"/>
            </w:tcBorders>
            <w:shd w:val="clear" w:color="auto" w:fill="auto"/>
            <w:noWrap/>
            <w:vAlign w:val="bottom"/>
          </w:tcPr>
          <w:p w:rsidR="00BE06C6" w:rsidRDefault="00BE06C6" w:rsidP="00F25FCA">
            <w:pPr>
              <w:spacing w:before="0" w:after="0" w:line="240" w:lineRule="auto"/>
              <w:rPr>
                <w:rFonts w:ascii="Arial" w:hAnsi="Arial" w:cs="Arial"/>
                <w:b/>
                <w:bCs/>
                <w:sz w:val="16"/>
                <w:szCs w:val="16"/>
                <w:lang w:eastAsia="en-AU"/>
              </w:rPr>
            </w:pPr>
          </w:p>
          <w:p w:rsidR="00BE06C6" w:rsidRPr="00F25FCA" w:rsidRDefault="00BE06C6" w:rsidP="00F25FCA">
            <w:pPr>
              <w:spacing w:before="0" w:after="0" w:line="240" w:lineRule="auto"/>
              <w:rPr>
                <w:rFonts w:ascii="Arial" w:hAnsi="Arial" w:cs="Arial"/>
                <w:b/>
                <w:bCs/>
                <w:sz w:val="16"/>
                <w:szCs w:val="16"/>
                <w:lang w:eastAsia="en-AU"/>
              </w:rPr>
            </w:pPr>
          </w:p>
        </w:tc>
        <w:tc>
          <w:tcPr>
            <w:tcW w:w="1998" w:type="dxa"/>
            <w:gridSpan w:val="5"/>
            <w:tcBorders>
              <w:top w:val="nil"/>
              <w:left w:val="nil"/>
              <w:bottom w:val="single" w:sz="8" w:space="0" w:color="auto"/>
              <w:right w:val="nil"/>
            </w:tcBorders>
            <w:shd w:val="clear" w:color="auto" w:fill="auto"/>
            <w:noWrap/>
            <w:vAlign w:val="bottom"/>
          </w:tcPr>
          <w:p w:rsidR="00BE06C6" w:rsidRPr="00F25FCA" w:rsidRDefault="00BE06C6" w:rsidP="00F25FCA">
            <w:pPr>
              <w:spacing w:before="0" w:after="0" w:line="240" w:lineRule="auto"/>
              <w:rPr>
                <w:rFonts w:ascii="Arial" w:hAnsi="Arial" w:cs="Arial"/>
                <w:b/>
                <w:bCs/>
                <w:sz w:val="16"/>
                <w:szCs w:val="16"/>
                <w:lang w:eastAsia="en-AU"/>
              </w:rPr>
            </w:pPr>
          </w:p>
        </w:tc>
        <w:tc>
          <w:tcPr>
            <w:tcW w:w="1224" w:type="dxa"/>
            <w:gridSpan w:val="6"/>
            <w:tcBorders>
              <w:top w:val="nil"/>
              <w:left w:val="nil"/>
              <w:bottom w:val="single" w:sz="8" w:space="0" w:color="auto"/>
              <w:right w:val="nil"/>
            </w:tcBorders>
            <w:shd w:val="clear" w:color="auto" w:fill="auto"/>
            <w:noWrap/>
            <w:vAlign w:val="bottom"/>
          </w:tcPr>
          <w:p w:rsidR="00BE06C6" w:rsidRPr="00F25FCA" w:rsidRDefault="00BE06C6" w:rsidP="00F25FCA">
            <w:pPr>
              <w:spacing w:before="0" w:after="0" w:line="240" w:lineRule="auto"/>
              <w:rPr>
                <w:rFonts w:ascii="Arial" w:hAnsi="Arial" w:cs="Arial"/>
                <w:b/>
                <w:bCs/>
                <w:sz w:val="16"/>
                <w:szCs w:val="16"/>
                <w:lang w:eastAsia="en-AU"/>
              </w:rPr>
            </w:pPr>
          </w:p>
        </w:tc>
        <w:tc>
          <w:tcPr>
            <w:tcW w:w="661" w:type="dxa"/>
            <w:gridSpan w:val="2"/>
            <w:tcBorders>
              <w:top w:val="single" w:sz="8" w:space="0" w:color="auto"/>
              <w:left w:val="nil"/>
              <w:bottom w:val="single" w:sz="8" w:space="0" w:color="auto"/>
              <w:right w:val="nil"/>
            </w:tcBorders>
            <w:shd w:val="clear" w:color="auto" w:fill="auto"/>
            <w:noWrap/>
            <w:vAlign w:val="bottom"/>
          </w:tcPr>
          <w:p w:rsidR="00BE06C6" w:rsidRPr="00F25FCA" w:rsidRDefault="00BE06C6" w:rsidP="00F25FCA">
            <w:pPr>
              <w:spacing w:before="0" w:after="0" w:line="240" w:lineRule="auto"/>
              <w:jc w:val="right"/>
              <w:rPr>
                <w:rFonts w:ascii="Arial" w:hAnsi="Arial" w:cs="Arial"/>
                <w:b/>
                <w:bCs/>
                <w:sz w:val="16"/>
                <w:szCs w:val="16"/>
                <w:lang w:eastAsia="en-AU"/>
              </w:rPr>
            </w:pPr>
          </w:p>
        </w:tc>
        <w:tc>
          <w:tcPr>
            <w:tcW w:w="980" w:type="dxa"/>
            <w:gridSpan w:val="6"/>
            <w:tcBorders>
              <w:top w:val="single" w:sz="8" w:space="0" w:color="auto"/>
              <w:left w:val="nil"/>
              <w:bottom w:val="single" w:sz="8" w:space="0" w:color="auto"/>
              <w:right w:val="nil"/>
            </w:tcBorders>
            <w:shd w:val="clear" w:color="auto" w:fill="auto"/>
            <w:noWrap/>
            <w:vAlign w:val="bottom"/>
          </w:tcPr>
          <w:p w:rsidR="00BE06C6" w:rsidRPr="00F25FCA" w:rsidRDefault="00BE06C6" w:rsidP="00F25FCA">
            <w:pPr>
              <w:spacing w:before="0" w:after="0" w:line="240" w:lineRule="auto"/>
              <w:jc w:val="right"/>
              <w:rPr>
                <w:rFonts w:ascii="Arial" w:hAnsi="Arial" w:cs="Arial"/>
                <w:b/>
                <w:bCs/>
                <w:sz w:val="16"/>
                <w:szCs w:val="16"/>
                <w:lang w:eastAsia="en-AU"/>
              </w:rPr>
            </w:pPr>
          </w:p>
        </w:tc>
        <w:tc>
          <w:tcPr>
            <w:tcW w:w="1109" w:type="dxa"/>
            <w:gridSpan w:val="6"/>
            <w:tcBorders>
              <w:top w:val="single" w:sz="8" w:space="0" w:color="auto"/>
              <w:left w:val="nil"/>
              <w:bottom w:val="single" w:sz="8" w:space="0" w:color="auto"/>
              <w:right w:val="nil"/>
            </w:tcBorders>
            <w:shd w:val="clear" w:color="auto" w:fill="auto"/>
            <w:noWrap/>
            <w:vAlign w:val="bottom"/>
          </w:tcPr>
          <w:p w:rsidR="00BE06C6" w:rsidRPr="00F25FCA" w:rsidRDefault="00BE06C6" w:rsidP="00F25FCA">
            <w:pPr>
              <w:spacing w:before="0" w:after="0" w:line="240" w:lineRule="auto"/>
              <w:jc w:val="right"/>
              <w:rPr>
                <w:rFonts w:ascii="Arial" w:hAnsi="Arial" w:cs="Arial"/>
                <w:b/>
                <w:bCs/>
                <w:sz w:val="16"/>
                <w:szCs w:val="16"/>
                <w:lang w:eastAsia="en-AU"/>
              </w:rPr>
            </w:pPr>
          </w:p>
        </w:tc>
        <w:tc>
          <w:tcPr>
            <w:tcW w:w="1084" w:type="dxa"/>
            <w:gridSpan w:val="3"/>
            <w:tcBorders>
              <w:top w:val="single" w:sz="8" w:space="0" w:color="auto"/>
              <w:left w:val="nil"/>
              <w:bottom w:val="single" w:sz="8" w:space="0" w:color="auto"/>
              <w:right w:val="nil"/>
            </w:tcBorders>
            <w:shd w:val="clear" w:color="auto" w:fill="auto"/>
            <w:noWrap/>
            <w:vAlign w:val="center"/>
          </w:tcPr>
          <w:p w:rsidR="00BE06C6" w:rsidRPr="00F25FCA" w:rsidRDefault="00BE06C6" w:rsidP="00BF65C9">
            <w:pPr>
              <w:spacing w:before="0" w:after="0" w:line="240" w:lineRule="auto"/>
              <w:jc w:val="right"/>
              <w:rPr>
                <w:rFonts w:ascii="Arial" w:hAnsi="Arial" w:cs="Arial"/>
                <w:b/>
                <w:bCs/>
                <w:sz w:val="16"/>
                <w:szCs w:val="16"/>
                <w:lang w:eastAsia="en-AU"/>
              </w:rPr>
            </w:pPr>
          </w:p>
        </w:tc>
      </w:tr>
      <w:tr w:rsidR="002D130C" w:rsidRPr="00F25FCA" w:rsidTr="00BE7AA6">
        <w:trPr>
          <w:trHeight w:val="746"/>
        </w:trPr>
        <w:tc>
          <w:tcPr>
            <w:tcW w:w="2701" w:type="dxa"/>
            <w:gridSpan w:val="3"/>
            <w:tcBorders>
              <w:top w:val="nil"/>
              <w:left w:val="nil"/>
              <w:bottom w:val="nil"/>
              <w:right w:val="nil"/>
            </w:tcBorders>
            <w:shd w:val="clear" w:color="auto" w:fill="auto"/>
            <w:noWrap/>
            <w:vAlign w:val="bottom"/>
            <w:hideMark/>
          </w:tcPr>
          <w:p w:rsidR="00481192" w:rsidRPr="00F25FCA" w:rsidRDefault="00481192" w:rsidP="007C4B89">
            <w:pPr>
              <w:spacing w:before="0" w:after="0" w:line="240" w:lineRule="auto"/>
              <w:rPr>
                <w:rFonts w:ascii="Arial" w:hAnsi="Arial" w:cs="Arial"/>
                <w:b/>
                <w:bCs/>
                <w:i/>
                <w:iCs/>
                <w:sz w:val="16"/>
                <w:szCs w:val="16"/>
                <w:lang w:eastAsia="en-AU"/>
              </w:rPr>
            </w:pPr>
          </w:p>
        </w:tc>
        <w:tc>
          <w:tcPr>
            <w:tcW w:w="1737" w:type="dxa"/>
            <w:gridSpan w:val="4"/>
            <w:tcBorders>
              <w:top w:val="nil"/>
              <w:left w:val="nil"/>
              <w:bottom w:val="nil"/>
              <w:right w:val="nil"/>
            </w:tcBorders>
            <w:shd w:val="clear" w:color="auto" w:fill="auto"/>
            <w:noWrap/>
            <w:vAlign w:val="bottom"/>
            <w:hideMark/>
          </w:tcPr>
          <w:p w:rsidR="00481192" w:rsidRPr="00F25FCA" w:rsidRDefault="00481192" w:rsidP="007C4B89">
            <w:pPr>
              <w:spacing w:before="0" w:after="0" w:line="240" w:lineRule="auto"/>
              <w:rPr>
                <w:rFonts w:ascii="Arial" w:hAnsi="Arial" w:cs="Arial"/>
                <w:b/>
                <w:bCs/>
                <w:sz w:val="16"/>
                <w:szCs w:val="16"/>
                <w:lang w:eastAsia="en-AU"/>
              </w:rPr>
            </w:pPr>
          </w:p>
        </w:tc>
        <w:tc>
          <w:tcPr>
            <w:tcW w:w="2183" w:type="dxa"/>
            <w:gridSpan w:val="8"/>
            <w:tcBorders>
              <w:top w:val="nil"/>
              <w:left w:val="nil"/>
              <w:bottom w:val="nil"/>
              <w:right w:val="nil"/>
            </w:tcBorders>
            <w:shd w:val="clear" w:color="auto" w:fill="auto"/>
            <w:noWrap/>
            <w:vAlign w:val="bottom"/>
            <w:hideMark/>
          </w:tcPr>
          <w:p w:rsidR="00481192" w:rsidRPr="002D130C" w:rsidRDefault="00481192" w:rsidP="007C4B89">
            <w:pPr>
              <w:spacing w:before="0" w:after="0" w:line="240" w:lineRule="auto"/>
              <w:rPr>
                <w:rFonts w:ascii="Arial" w:hAnsi="Arial" w:cs="Arial"/>
                <w:b/>
                <w:bCs/>
                <w:sz w:val="16"/>
                <w:szCs w:val="16"/>
                <w:lang w:eastAsia="en-AU"/>
              </w:rPr>
            </w:pPr>
          </w:p>
        </w:tc>
        <w:tc>
          <w:tcPr>
            <w:tcW w:w="975" w:type="dxa"/>
            <w:gridSpan w:val="5"/>
            <w:tcBorders>
              <w:top w:val="nil"/>
              <w:left w:val="single" w:sz="8" w:space="0" w:color="auto"/>
              <w:bottom w:val="nil"/>
              <w:right w:val="nil"/>
            </w:tcBorders>
            <w:shd w:val="clear" w:color="auto" w:fill="auto"/>
            <w:vAlign w:val="bottom"/>
            <w:hideMark/>
          </w:tcPr>
          <w:p w:rsidR="00481192" w:rsidRPr="00F25FCA" w:rsidRDefault="00481192" w:rsidP="007C4B89">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COMM LANG LEVY</w:t>
            </w:r>
          </w:p>
        </w:tc>
        <w:tc>
          <w:tcPr>
            <w:tcW w:w="992" w:type="dxa"/>
            <w:gridSpan w:val="6"/>
            <w:tcBorders>
              <w:top w:val="nil"/>
              <w:left w:val="nil"/>
              <w:bottom w:val="nil"/>
              <w:right w:val="nil"/>
            </w:tcBorders>
            <w:shd w:val="clear" w:color="auto" w:fill="auto"/>
            <w:vAlign w:val="bottom"/>
            <w:hideMark/>
          </w:tcPr>
          <w:p w:rsidR="00481192" w:rsidRPr="00F25FCA" w:rsidRDefault="00481192" w:rsidP="007C4B89">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COMM LANG OTHER</w:t>
            </w:r>
          </w:p>
        </w:tc>
        <w:tc>
          <w:tcPr>
            <w:tcW w:w="1166" w:type="dxa"/>
            <w:gridSpan w:val="6"/>
            <w:tcBorders>
              <w:top w:val="nil"/>
              <w:left w:val="nil"/>
              <w:bottom w:val="nil"/>
              <w:right w:val="nil"/>
            </w:tcBorders>
            <w:shd w:val="clear" w:color="auto" w:fill="auto"/>
            <w:noWrap/>
            <w:vAlign w:val="bottom"/>
            <w:hideMark/>
          </w:tcPr>
          <w:p w:rsidR="00481192" w:rsidRPr="00F25FCA" w:rsidRDefault="00481192" w:rsidP="007C4B89">
            <w:pPr>
              <w:spacing w:before="0" w:after="0" w:line="240" w:lineRule="auto"/>
              <w:rPr>
                <w:rFonts w:ascii="Arial" w:hAnsi="Arial" w:cs="Arial"/>
                <w:b/>
                <w:bCs/>
                <w:sz w:val="16"/>
                <w:szCs w:val="16"/>
                <w:lang w:eastAsia="en-AU"/>
              </w:rPr>
            </w:pPr>
            <w:r w:rsidRPr="00F25FCA">
              <w:rPr>
                <w:rFonts w:ascii="Arial" w:hAnsi="Arial" w:cs="Arial"/>
                <w:b/>
                <w:bCs/>
                <w:sz w:val="16"/>
                <w:szCs w:val="16"/>
                <w:lang w:eastAsia="en-AU"/>
              </w:rPr>
              <w:t>TOTAL</w:t>
            </w:r>
          </w:p>
        </w:tc>
        <w:tc>
          <w:tcPr>
            <w:tcW w:w="818" w:type="dxa"/>
            <w:tcBorders>
              <w:top w:val="nil"/>
              <w:left w:val="nil"/>
              <w:bottom w:val="nil"/>
              <w:right w:val="nil"/>
            </w:tcBorders>
            <w:shd w:val="clear" w:color="auto" w:fill="auto"/>
            <w:vAlign w:val="bottom"/>
            <w:hideMark/>
          </w:tcPr>
          <w:p w:rsidR="00481192" w:rsidRPr="00F25FCA" w:rsidRDefault="00481192" w:rsidP="007C4B89">
            <w:pPr>
              <w:spacing w:before="0" w:after="0" w:line="240" w:lineRule="auto"/>
              <w:jc w:val="center"/>
              <w:rPr>
                <w:rFonts w:ascii="Arial" w:hAnsi="Arial" w:cs="Arial"/>
                <w:b/>
                <w:bCs/>
                <w:sz w:val="16"/>
                <w:szCs w:val="16"/>
                <w:lang w:eastAsia="en-AU"/>
              </w:rPr>
            </w:pPr>
            <w:r w:rsidRPr="00F25FCA">
              <w:rPr>
                <w:rFonts w:ascii="Arial" w:hAnsi="Arial" w:cs="Arial"/>
                <w:b/>
                <w:bCs/>
                <w:sz w:val="16"/>
                <w:szCs w:val="16"/>
                <w:lang w:eastAsia="en-AU"/>
              </w:rPr>
              <w:t>% OF TOTAL LEVY</w:t>
            </w:r>
          </w:p>
        </w:tc>
      </w:tr>
      <w:tr w:rsidR="002D130C" w:rsidRPr="00F25FCA" w:rsidTr="00BE7AA6">
        <w:trPr>
          <w:trHeight w:val="71"/>
        </w:trPr>
        <w:tc>
          <w:tcPr>
            <w:tcW w:w="2701" w:type="dxa"/>
            <w:gridSpan w:val="3"/>
            <w:tcBorders>
              <w:top w:val="nil"/>
              <w:left w:val="nil"/>
              <w:bottom w:val="single" w:sz="8" w:space="0" w:color="auto"/>
              <w:right w:val="nil"/>
            </w:tcBorders>
            <w:shd w:val="clear" w:color="auto" w:fill="auto"/>
            <w:noWrap/>
            <w:vAlign w:val="bottom"/>
            <w:hideMark/>
          </w:tcPr>
          <w:p w:rsidR="00481192" w:rsidRPr="00F25FCA" w:rsidRDefault="00481192" w:rsidP="007C4B89">
            <w:pPr>
              <w:spacing w:before="0" w:after="0" w:line="240" w:lineRule="auto"/>
              <w:rPr>
                <w:rFonts w:ascii="Arial" w:hAnsi="Arial" w:cs="Arial"/>
                <w:b/>
                <w:sz w:val="16"/>
                <w:szCs w:val="16"/>
                <w:lang w:eastAsia="en-AU"/>
              </w:rPr>
            </w:pPr>
            <w:r>
              <w:rPr>
                <w:rFonts w:ascii="Arial" w:hAnsi="Arial" w:cs="Arial"/>
                <w:b/>
                <w:sz w:val="16"/>
                <w:szCs w:val="16"/>
                <w:lang w:eastAsia="en-AU"/>
              </w:rPr>
              <w:t>Joint Use School /</w:t>
            </w:r>
            <w:r w:rsidRPr="00F25FCA">
              <w:rPr>
                <w:rFonts w:ascii="Arial" w:hAnsi="Arial" w:cs="Arial"/>
                <w:b/>
                <w:sz w:val="16"/>
                <w:szCs w:val="16"/>
                <w:lang w:eastAsia="en-AU"/>
              </w:rPr>
              <w:t xml:space="preserve"> Council</w:t>
            </w:r>
          </w:p>
        </w:tc>
        <w:tc>
          <w:tcPr>
            <w:tcW w:w="1737" w:type="dxa"/>
            <w:gridSpan w:val="4"/>
            <w:tcBorders>
              <w:top w:val="nil"/>
              <w:left w:val="nil"/>
              <w:bottom w:val="single" w:sz="8" w:space="0" w:color="auto"/>
              <w:right w:val="nil"/>
            </w:tcBorders>
            <w:shd w:val="clear" w:color="auto" w:fill="auto"/>
            <w:noWrap/>
            <w:vAlign w:val="bottom"/>
            <w:hideMark/>
          </w:tcPr>
          <w:p w:rsidR="00481192" w:rsidRPr="00F25FCA" w:rsidRDefault="00481192" w:rsidP="007C4B89">
            <w:pPr>
              <w:spacing w:before="0" w:after="0" w:line="240" w:lineRule="auto"/>
              <w:rPr>
                <w:rFonts w:ascii="Arial" w:hAnsi="Arial" w:cs="Arial"/>
                <w:b/>
                <w:sz w:val="16"/>
                <w:szCs w:val="16"/>
                <w:lang w:eastAsia="en-AU"/>
              </w:rPr>
            </w:pPr>
            <w:r w:rsidRPr="00F25FCA">
              <w:rPr>
                <w:rFonts w:ascii="Arial" w:hAnsi="Arial" w:cs="Arial"/>
                <w:b/>
                <w:sz w:val="16"/>
                <w:szCs w:val="16"/>
                <w:lang w:eastAsia="en-AU"/>
              </w:rPr>
              <w:t>Library Service</w:t>
            </w:r>
          </w:p>
        </w:tc>
        <w:tc>
          <w:tcPr>
            <w:tcW w:w="2183" w:type="dxa"/>
            <w:gridSpan w:val="8"/>
            <w:tcBorders>
              <w:top w:val="nil"/>
              <w:left w:val="nil"/>
              <w:bottom w:val="single" w:sz="8" w:space="0" w:color="auto"/>
              <w:right w:val="nil"/>
            </w:tcBorders>
            <w:shd w:val="clear" w:color="auto" w:fill="auto"/>
            <w:noWrap/>
            <w:vAlign w:val="center"/>
            <w:hideMark/>
          </w:tcPr>
          <w:p w:rsidR="00481192" w:rsidRPr="002D130C" w:rsidRDefault="00481192" w:rsidP="002D130C">
            <w:pPr>
              <w:spacing w:before="0" w:after="0" w:line="240" w:lineRule="auto"/>
              <w:jc w:val="right"/>
              <w:rPr>
                <w:rFonts w:ascii="Arial" w:hAnsi="Arial" w:cs="Arial"/>
                <w:b/>
                <w:sz w:val="16"/>
                <w:szCs w:val="16"/>
                <w:lang w:eastAsia="en-AU"/>
              </w:rPr>
            </w:pPr>
            <w:r w:rsidRPr="002D130C">
              <w:rPr>
                <w:rFonts w:ascii="Arial" w:hAnsi="Arial" w:cs="Arial"/>
                <w:b/>
                <w:sz w:val="16"/>
                <w:szCs w:val="16"/>
                <w:lang w:eastAsia="en-AU"/>
              </w:rPr>
              <w:t>CODES</w:t>
            </w:r>
          </w:p>
        </w:tc>
        <w:tc>
          <w:tcPr>
            <w:tcW w:w="975" w:type="dxa"/>
            <w:gridSpan w:val="5"/>
            <w:tcBorders>
              <w:top w:val="nil"/>
              <w:left w:val="single" w:sz="8" w:space="0" w:color="auto"/>
              <w:bottom w:val="single" w:sz="8" w:space="0" w:color="auto"/>
              <w:right w:val="nil"/>
            </w:tcBorders>
            <w:shd w:val="clear" w:color="auto" w:fill="auto"/>
            <w:noWrap/>
            <w:vAlign w:val="bottom"/>
            <w:hideMark/>
          </w:tcPr>
          <w:p w:rsidR="00481192" w:rsidRPr="00F25FCA" w:rsidRDefault="00481192" w:rsidP="007C4B89">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2.93%</w:t>
            </w:r>
          </w:p>
        </w:tc>
        <w:tc>
          <w:tcPr>
            <w:tcW w:w="992" w:type="dxa"/>
            <w:gridSpan w:val="6"/>
            <w:tcBorders>
              <w:top w:val="nil"/>
              <w:left w:val="nil"/>
              <w:bottom w:val="single" w:sz="8" w:space="0" w:color="auto"/>
              <w:right w:val="nil"/>
            </w:tcBorders>
            <w:shd w:val="clear" w:color="auto" w:fill="auto"/>
            <w:noWrap/>
            <w:vAlign w:val="bottom"/>
            <w:hideMark/>
          </w:tcPr>
          <w:p w:rsidR="00481192" w:rsidRPr="00F25FCA" w:rsidRDefault="00481192" w:rsidP="007C4B89">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2.47%</w:t>
            </w:r>
          </w:p>
        </w:tc>
        <w:tc>
          <w:tcPr>
            <w:tcW w:w="1166" w:type="dxa"/>
            <w:gridSpan w:val="6"/>
            <w:tcBorders>
              <w:top w:val="nil"/>
              <w:left w:val="nil"/>
              <w:bottom w:val="single" w:sz="8" w:space="0" w:color="auto"/>
              <w:right w:val="nil"/>
            </w:tcBorders>
            <w:shd w:val="clear" w:color="auto" w:fill="auto"/>
            <w:noWrap/>
            <w:vAlign w:val="bottom"/>
            <w:hideMark/>
          </w:tcPr>
          <w:p w:rsidR="00481192" w:rsidRPr="00F25FCA" w:rsidRDefault="00481192" w:rsidP="007C4B89">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w:t>
            </w:r>
          </w:p>
        </w:tc>
        <w:tc>
          <w:tcPr>
            <w:tcW w:w="818" w:type="dxa"/>
            <w:tcBorders>
              <w:top w:val="nil"/>
              <w:left w:val="nil"/>
              <w:bottom w:val="single" w:sz="8" w:space="0" w:color="auto"/>
              <w:right w:val="nil"/>
            </w:tcBorders>
            <w:shd w:val="clear" w:color="auto" w:fill="auto"/>
            <w:noWrap/>
            <w:vAlign w:val="bottom"/>
            <w:hideMark/>
          </w:tcPr>
          <w:p w:rsidR="00481192" w:rsidRPr="00F25FCA" w:rsidRDefault="00481192" w:rsidP="007C4B89">
            <w:pPr>
              <w:spacing w:before="0" w:after="0" w:line="240" w:lineRule="auto"/>
              <w:jc w:val="center"/>
              <w:rPr>
                <w:rFonts w:ascii="Arial" w:hAnsi="Arial" w:cs="Arial"/>
                <w:b/>
                <w:sz w:val="16"/>
                <w:szCs w:val="16"/>
                <w:lang w:eastAsia="en-AU"/>
              </w:rPr>
            </w:pPr>
            <w:r w:rsidRPr="00F25FCA">
              <w:rPr>
                <w:rFonts w:ascii="Arial" w:hAnsi="Arial" w:cs="Arial"/>
                <w:b/>
                <w:sz w:val="16"/>
                <w:szCs w:val="16"/>
                <w:lang w:eastAsia="en-AU"/>
              </w:rPr>
              <w:t>%</w:t>
            </w:r>
          </w:p>
        </w:tc>
      </w:tr>
      <w:tr w:rsidR="002D130C" w:rsidRPr="00F4713B" w:rsidTr="00BE7AA6">
        <w:trPr>
          <w:gridBefore w:val="1"/>
          <w:wBefore w:w="90" w:type="dxa"/>
          <w:trHeight w:val="370"/>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 xml:space="preserve">ANDAMOOKA  </w:t>
            </w:r>
          </w:p>
        </w:tc>
        <w:tc>
          <w:tcPr>
            <w:tcW w:w="2022" w:type="dxa"/>
            <w:gridSpan w:val="5"/>
            <w:tcBorders>
              <w:top w:val="nil"/>
              <w:left w:val="nil"/>
              <w:bottom w:val="nil"/>
              <w:right w:val="nil"/>
            </w:tcBorders>
            <w:shd w:val="clear" w:color="000000" w:fill="FFFFFF"/>
            <w:noWrap/>
            <w:vAlign w:val="bottom"/>
            <w:hideMark/>
          </w:tcPr>
          <w:p w:rsidR="00F4713B" w:rsidRPr="002D130C" w:rsidRDefault="00F4713B" w:rsidP="00F4713B">
            <w:pPr>
              <w:spacing w:before="0" w:after="0" w:line="240" w:lineRule="auto"/>
              <w:jc w:val="right"/>
              <w:rPr>
                <w:rFonts w:ascii="Arial" w:hAnsi="Arial" w:cs="Arial"/>
                <w:sz w:val="16"/>
                <w:szCs w:val="16"/>
                <w:lang w:eastAsia="en-AU"/>
              </w:rPr>
            </w:pPr>
            <w:r w:rsidRPr="002D130C">
              <w:rPr>
                <w:rFonts w:ascii="Arial" w:hAnsi="Arial" w:cs="Arial"/>
                <w:sz w:val="16"/>
                <w:szCs w:val="16"/>
                <w:lang w:eastAsia="en-AU"/>
              </w:rPr>
              <w:t>Andamooka</w:t>
            </w:r>
          </w:p>
        </w:tc>
        <w:tc>
          <w:tcPr>
            <w:tcW w:w="1545" w:type="dxa"/>
            <w:gridSpan w:val="6"/>
            <w:tcBorders>
              <w:top w:val="nil"/>
              <w:left w:val="nil"/>
              <w:bottom w:val="nil"/>
              <w:right w:val="nil"/>
            </w:tcBorders>
            <w:shd w:val="clear" w:color="000000" w:fill="FFFFFF"/>
            <w:noWrap/>
            <w:vAlign w:val="bottom"/>
            <w:hideMark/>
          </w:tcPr>
          <w:p w:rsidR="00F4713B" w:rsidRPr="002D130C" w:rsidRDefault="00F4713B" w:rsidP="002D130C">
            <w:pPr>
              <w:spacing w:before="0" w:after="0" w:line="240" w:lineRule="auto"/>
              <w:jc w:val="center"/>
              <w:rPr>
                <w:rFonts w:ascii="Arial" w:hAnsi="Arial" w:cs="Arial"/>
                <w:sz w:val="16"/>
                <w:szCs w:val="16"/>
                <w:lang w:eastAsia="en-AU"/>
              </w:rPr>
            </w:pPr>
            <w:r w:rsidRPr="002D130C">
              <w:rPr>
                <w:rFonts w:ascii="Arial" w:hAnsi="Arial" w:cs="Arial"/>
                <w:sz w:val="16"/>
                <w:szCs w:val="16"/>
                <w:lang w:eastAsia="en-AU"/>
              </w:rPr>
              <w:t>J10</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146</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41</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187</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0.05</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BARUNGA WEST</w:t>
            </w:r>
          </w:p>
        </w:tc>
        <w:tc>
          <w:tcPr>
            <w:tcW w:w="2022" w:type="dxa"/>
            <w:gridSpan w:val="5"/>
            <w:tcBorders>
              <w:top w:val="nil"/>
              <w:left w:val="nil"/>
              <w:bottom w:val="nil"/>
              <w:right w:val="nil"/>
            </w:tcBorders>
            <w:shd w:val="clear" w:color="000000" w:fill="FFFFFF"/>
            <w:noWrap/>
            <w:vAlign w:val="bottom"/>
            <w:hideMark/>
          </w:tcPr>
          <w:p w:rsidR="00F4713B" w:rsidRPr="002D130C" w:rsidRDefault="00F4713B" w:rsidP="00F4713B">
            <w:pPr>
              <w:spacing w:before="0" w:after="0" w:line="240" w:lineRule="auto"/>
              <w:jc w:val="right"/>
              <w:rPr>
                <w:rFonts w:ascii="Arial" w:hAnsi="Arial" w:cs="Arial"/>
                <w:sz w:val="16"/>
                <w:szCs w:val="16"/>
                <w:lang w:eastAsia="en-AU"/>
              </w:rPr>
            </w:pPr>
            <w:r w:rsidRPr="002D130C">
              <w:rPr>
                <w:rFonts w:ascii="Arial" w:hAnsi="Arial" w:cs="Arial"/>
                <w:sz w:val="16"/>
                <w:szCs w:val="16"/>
                <w:lang w:eastAsia="en-AU"/>
              </w:rPr>
              <w:t>Pt. Broughton</w:t>
            </w:r>
          </w:p>
        </w:tc>
        <w:tc>
          <w:tcPr>
            <w:tcW w:w="1545" w:type="dxa"/>
            <w:gridSpan w:val="6"/>
            <w:tcBorders>
              <w:top w:val="nil"/>
              <w:left w:val="nil"/>
              <w:bottom w:val="nil"/>
              <w:right w:val="nil"/>
            </w:tcBorders>
            <w:shd w:val="clear" w:color="000000" w:fill="FFFFFF"/>
            <w:noWrap/>
            <w:vAlign w:val="bottom"/>
            <w:hideMark/>
          </w:tcPr>
          <w:p w:rsidR="00F4713B" w:rsidRPr="002D130C" w:rsidRDefault="00F4713B" w:rsidP="002D130C">
            <w:pPr>
              <w:spacing w:before="0" w:after="0" w:line="240" w:lineRule="auto"/>
              <w:jc w:val="center"/>
              <w:rPr>
                <w:rFonts w:ascii="Arial" w:hAnsi="Arial" w:cs="Arial"/>
                <w:sz w:val="16"/>
                <w:szCs w:val="16"/>
                <w:lang w:eastAsia="en-AU"/>
              </w:rPr>
            </w:pPr>
            <w:r w:rsidRPr="002D130C">
              <w:rPr>
                <w:rFonts w:ascii="Arial" w:hAnsi="Arial" w:cs="Arial"/>
                <w:sz w:val="16"/>
                <w:szCs w:val="16"/>
                <w:lang w:eastAsia="en-AU"/>
              </w:rPr>
              <w:t>J30</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328</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17</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346</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CEDUNA</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Ceduna</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J21</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420</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190</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610</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0.17</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CLARE AND GILBERT VALLEYS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Riverton</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J31</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327</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37</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365</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0.10</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CLEVE</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Cleve</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 2</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293</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19</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313</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COOBER PEDY</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Coober Pedy</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J11</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341</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287</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628</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0.17</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COORONG DISTRICT COUNCIL</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Tintinara</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J18</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269</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28</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297</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0.08</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COORONG DISTRICT COUNCIL</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Meningie</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J36</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292</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38</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331</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COORONG DISTRICT COUNCIL</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Tailem Bend</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J40</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301</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40</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341</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COORONG DISTRICT COUNCIL</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 xml:space="preserve"> Coomandook</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J25</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165</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14</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180</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0.05</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COPPER COAST</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Moonta</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 7</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454</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54</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507</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0.14</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ELLISTON</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Lock</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J14</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256</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8</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264</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0.07</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FLINDERS RANGES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Hawker</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J45</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104</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12</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116</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0.03</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FLINDERS RANGES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Quorn</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J23</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282</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36</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318</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FRANKLIN HARBOR</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Cowell</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J27</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282</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14</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295</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0.08</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REGIONAL COUNCIL OF GOYDER</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Burra</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 6</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316</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35</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351</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0.10</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REGIONAL COUNCIL OF GOYDER</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Eudunda</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J13</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298</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30</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328</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KAROONDA EAST MURRAY</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Karoonda</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J37</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178</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14</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191</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0.05</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KAROONDA EAST MURRAY</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East Murray</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 3</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76</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6</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82</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0.02</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KIMBA</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Kimba</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J42</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265</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268</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0.07</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KINGSTON DISTRICT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Kingston</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J32</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316</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16</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332</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 xml:space="preserve">LEIGH CREEK    </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Leigh Creek</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 8</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264</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14</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279</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0.08</w:t>
            </w:r>
          </w:p>
        </w:tc>
      </w:tr>
      <w:tr w:rsidR="002D130C"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LOWER EYRE PENINSULA</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Cummins</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J39</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655</w:t>
            </w:r>
          </w:p>
        </w:tc>
        <w:tc>
          <w:tcPr>
            <w:tcW w:w="1134" w:type="dxa"/>
            <w:gridSpan w:val="8"/>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55</w:t>
            </w:r>
          </w:p>
        </w:tc>
        <w:tc>
          <w:tcPr>
            <w:tcW w:w="99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710</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0.19</w:t>
            </w:r>
          </w:p>
        </w:tc>
      </w:tr>
      <w:tr w:rsidR="00BE06C6" w:rsidRPr="00F4713B" w:rsidTr="00BE7AA6">
        <w:trPr>
          <w:gridBefore w:val="1"/>
          <w:wBefore w:w="90" w:type="dxa"/>
          <w:trHeight w:val="225"/>
        </w:trPr>
        <w:tc>
          <w:tcPr>
            <w:tcW w:w="2964" w:type="dxa"/>
            <w:gridSpan w:val="3"/>
            <w:tcBorders>
              <w:top w:val="nil"/>
              <w:left w:val="nil"/>
              <w:bottom w:val="nil"/>
              <w:right w:val="nil"/>
            </w:tcBorders>
            <w:shd w:val="clear" w:color="000000" w:fill="FFFFFF"/>
            <w:noWrap/>
            <w:vAlign w:val="bottom"/>
            <w:hideMark/>
          </w:tcPr>
          <w:p w:rsidR="00F4713B" w:rsidRPr="00F4713B" w:rsidRDefault="00F4713B" w:rsidP="00BE7AA6">
            <w:pPr>
              <w:spacing w:before="0" w:after="0" w:line="240" w:lineRule="auto"/>
              <w:rPr>
                <w:rFonts w:ascii="Arial" w:hAnsi="Arial" w:cs="Arial"/>
                <w:sz w:val="16"/>
                <w:szCs w:val="16"/>
                <w:lang w:eastAsia="en-AU"/>
              </w:rPr>
            </w:pPr>
            <w:r w:rsidRPr="00F4713B">
              <w:rPr>
                <w:rFonts w:ascii="Arial" w:hAnsi="Arial" w:cs="Arial"/>
                <w:sz w:val="16"/>
                <w:szCs w:val="16"/>
                <w:lang w:eastAsia="en-AU"/>
              </w:rPr>
              <w:t>NARACOORTELUCINDALE</w:t>
            </w:r>
            <w:r w:rsidR="00BE7AA6">
              <w:rPr>
                <w:rFonts w:ascii="Arial" w:hAnsi="Arial" w:cs="Arial"/>
                <w:sz w:val="16"/>
                <w:szCs w:val="16"/>
                <w:lang w:eastAsia="en-AU"/>
              </w:rPr>
              <w:t>C</w:t>
            </w:r>
            <w:r w:rsidRPr="00F4713B">
              <w:rPr>
                <w:rFonts w:ascii="Arial" w:hAnsi="Arial" w:cs="Arial"/>
                <w:sz w:val="16"/>
                <w:szCs w:val="16"/>
                <w:lang w:eastAsia="en-AU"/>
              </w:rPr>
              <w:t>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Lucindale</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 5</w:t>
            </w:r>
          </w:p>
        </w:tc>
        <w:tc>
          <w:tcPr>
            <w:tcW w:w="723" w:type="dxa"/>
            <w:gridSpan w:val="2"/>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276</w:t>
            </w:r>
          </w:p>
        </w:tc>
        <w:tc>
          <w:tcPr>
            <w:tcW w:w="1244" w:type="dxa"/>
            <w:gridSpan w:val="9"/>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p>
        </w:tc>
        <w:tc>
          <w:tcPr>
            <w:tcW w:w="882" w:type="dxa"/>
            <w:gridSpan w:val="3"/>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330</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BE06C6" w:rsidRPr="00F4713B" w:rsidTr="00BE7AA6">
        <w:trPr>
          <w:gridBefore w:val="1"/>
          <w:wBefore w:w="90" w:type="dxa"/>
          <w:trHeight w:val="255"/>
        </w:trPr>
        <w:tc>
          <w:tcPr>
            <w:tcW w:w="2964" w:type="dxa"/>
            <w:gridSpan w:val="3"/>
            <w:tcBorders>
              <w:top w:val="nil"/>
              <w:left w:val="nil"/>
              <w:bottom w:val="nil"/>
              <w:right w:val="nil"/>
            </w:tcBorders>
            <w:shd w:val="clear" w:color="000000" w:fill="FFFFFF"/>
            <w:noWrap/>
            <w:vAlign w:val="bottom"/>
            <w:hideMark/>
          </w:tcPr>
          <w:p w:rsidR="00BE06C6" w:rsidRDefault="00BE06C6" w:rsidP="00F4713B">
            <w:pPr>
              <w:spacing w:before="0" w:after="0" w:line="240" w:lineRule="auto"/>
              <w:rPr>
                <w:rFonts w:ascii="Arial" w:hAnsi="Arial" w:cs="Arial"/>
                <w:sz w:val="16"/>
                <w:szCs w:val="16"/>
                <w:lang w:eastAsia="en-AU"/>
              </w:rPr>
            </w:pPr>
          </w:p>
          <w:p w:rsidR="00BE06C6" w:rsidRDefault="00BE06C6" w:rsidP="00F4713B">
            <w:pPr>
              <w:spacing w:before="0" w:after="0" w:line="240" w:lineRule="auto"/>
              <w:rPr>
                <w:rFonts w:ascii="Arial" w:hAnsi="Arial" w:cs="Arial"/>
                <w:sz w:val="16"/>
                <w:szCs w:val="16"/>
                <w:lang w:eastAsia="en-AU"/>
              </w:rPr>
            </w:pPr>
          </w:p>
          <w:p w:rsidR="00BE06C6" w:rsidRDefault="00BE06C6" w:rsidP="00F4713B">
            <w:pPr>
              <w:spacing w:before="0" w:after="0" w:line="240" w:lineRule="auto"/>
              <w:rPr>
                <w:rFonts w:ascii="Arial" w:hAnsi="Arial" w:cs="Arial"/>
                <w:sz w:val="16"/>
                <w:szCs w:val="16"/>
                <w:lang w:eastAsia="en-AU"/>
              </w:rPr>
            </w:pPr>
          </w:p>
          <w:p w:rsidR="00BE06C6" w:rsidRDefault="00BE06C6" w:rsidP="00F4713B">
            <w:pPr>
              <w:spacing w:before="0" w:after="0" w:line="240" w:lineRule="auto"/>
              <w:rPr>
                <w:rFonts w:ascii="Arial" w:hAnsi="Arial" w:cs="Arial"/>
                <w:sz w:val="16"/>
                <w:szCs w:val="16"/>
                <w:lang w:eastAsia="en-AU"/>
              </w:rPr>
            </w:pPr>
          </w:p>
          <w:p w:rsidR="00F4713B" w:rsidRPr="00F4713B" w:rsidRDefault="00873C04" w:rsidP="00F4713B">
            <w:pPr>
              <w:spacing w:before="0" w:after="0" w:line="240" w:lineRule="auto"/>
              <w:rPr>
                <w:rFonts w:ascii="Arial" w:hAnsi="Arial" w:cs="Arial"/>
                <w:sz w:val="16"/>
                <w:szCs w:val="16"/>
                <w:lang w:eastAsia="en-AU"/>
              </w:rPr>
            </w:pPr>
            <w:r>
              <w:rPr>
                <w:rFonts w:ascii="Arial" w:hAnsi="Arial" w:cs="Arial"/>
                <w:sz w:val="16"/>
                <w:szCs w:val="16"/>
                <w:lang w:eastAsia="en-AU"/>
              </w:rPr>
              <w:t xml:space="preserve">   </w:t>
            </w:r>
            <w:r w:rsidR="00F4713B" w:rsidRPr="00F4713B">
              <w:rPr>
                <w:rFonts w:ascii="Arial" w:hAnsi="Arial" w:cs="Arial"/>
                <w:sz w:val="16"/>
                <w:szCs w:val="16"/>
                <w:lang w:eastAsia="en-AU"/>
              </w:rPr>
              <w:t>MID MURRAY COUNCIL</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Mannum</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J41</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457</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69</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526</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0.14</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MID MURRAY COUNCIL</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Cambrai</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J22</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291</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31</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322</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MID MURRAY COUNCIL</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Swan Reach</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J20</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239</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17</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256</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0.07</w:t>
            </w:r>
          </w:p>
        </w:tc>
      </w:tr>
      <w:tr w:rsidR="00BE06C6" w:rsidRPr="00F4713B" w:rsidTr="00BE7AA6">
        <w:trPr>
          <w:gridBefore w:val="2"/>
          <w:wBefore w:w="218" w:type="dxa"/>
          <w:trHeight w:val="25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NORTHERN AREAS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Jamestown</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J24</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305</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19</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324</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 xml:space="preserve">DISTRICT COUNCIL OF ORROROO CARRIETON </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Orroroo Carrieton</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J15</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216</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14</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229</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0.06</w:t>
            </w:r>
          </w:p>
        </w:tc>
      </w:tr>
      <w:tr w:rsidR="00BE06C6" w:rsidRPr="00F4713B" w:rsidTr="00BE7AA6">
        <w:trPr>
          <w:gridBefore w:val="2"/>
          <w:wBefore w:w="218" w:type="dxa"/>
          <w:trHeight w:val="25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SOUTHERN MALLEE DISTRICT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Lameroo</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J35</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264</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26</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290</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0.08</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SOUTHERN MALLEE DISTRICT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Pinnaroo</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 1</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241</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23</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264</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0.07</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STREAKY BAY</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Streaky Bay</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J28</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296</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24</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320</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TATIARA DISTRICT COUNCIL</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Keith</w:t>
            </w:r>
          </w:p>
        </w:tc>
        <w:tc>
          <w:tcPr>
            <w:tcW w:w="1545" w:type="dxa"/>
            <w:gridSpan w:val="6"/>
            <w:tcBorders>
              <w:top w:val="nil"/>
              <w:left w:val="nil"/>
              <w:bottom w:val="nil"/>
              <w:right w:val="nil"/>
            </w:tcBorders>
            <w:shd w:val="clear" w:color="auto" w:fill="auto"/>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J29</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313</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92</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405</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0.11</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TUMBY BAY</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Tumby Bay</w:t>
            </w:r>
          </w:p>
        </w:tc>
        <w:tc>
          <w:tcPr>
            <w:tcW w:w="1545" w:type="dxa"/>
            <w:gridSpan w:val="6"/>
            <w:tcBorders>
              <w:top w:val="nil"/>
              <w:left w:val="nil"/>
              <w:bottom w:val="nil"/>
              <w:right w:val="nil"/>
            </w:tcBorders>
            <w:shd w:val="clear" w:color="auto" w:fill="auto"/>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J44</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299</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19</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318</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WAKEFIELD REGIONAL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Balaklava</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J12</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460</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79</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539</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0.15</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WAKEFIELD REGIONAL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Snowtown</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J33</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312</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41</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352</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0.10</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WATTLE RANGE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Penola</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J16</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296</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32</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327</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WUDINNA DISTRICT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Wudinna</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 4</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236</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18</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253</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0.07</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WUDINNA DISTRICT COUNCIL</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Karcultaby</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J43</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140</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9</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149</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0.04</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YANKALILLA</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Yankalilla</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J46</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507</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57</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564</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0.15</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YORKE PENINSULA</w:t>
            </w:r>
          </w:p>
        </w:tc>
        <w:tc>
          <w:tcPr>
            <w:tcW w:w="2022" w:type="dxa"/>
            <w:gridSpan w:val="5"/>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Yorketown</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J19</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423</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56</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479</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0.13</w:t>
            </w:r>
          </w:p>
        </w:tc>
      </w:tr>
      <w:tr w:rsidR="00BE06C6" w:rsidRPr="00F4713B" w:rsidTr="00BE7AA6">
        <w:trPr>
          <w:gridBefore w:val="2"/>
          <w:wBefore w:w="218" w:type="dxa"/>
          <w:trHeight w:val="225"/>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YORKE PENINSULA</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Maitland</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J38</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325</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19</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345</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BE06C6" w:rsidRPr="00F4713B" w:rsidTr="00BE7AA6">
        <w:trPr>
          <w:gridBefore w:val="2"/>
          <w:wBefore w:w="218" w:type="dxa"/>
          <w:trHeight w:val="71"/>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YORKE PENINSULA</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Ardrossan</w:t>
            </w:r>
          </w:p>
        </w:tc>
        <w:tc>
          <w:tcPr>
            <w:tcW w:w="1545" w:type="dxa"/>
            <w:gridSpan w:val="6"/>
            <w:tcBorders>
              <w:top w:val="nil"/>
              <w:left w:val="nil"/>
              <w:bottom w:val="nil"/>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J47</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325</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19</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345</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BE06C6" w:rsidRPr="00F4713B" w:rsidTr="00BE7AA6">
        <w:trPr>
          <w:gridBefore w:val="2"/>
          <w:wBefore w:w="218" w:type="dxa"/>
          <w:trHeight w:val="240"/>
        </w:trPr>
        <w:tc>
          <w:tcPr>
            <w:tcW w:w="2836" w:type="dxa"/>
            <w:gridSpan w:val="2"/>
            <w:tcBorders>
              <w:top w:val="nil"/>
              <w:left w:val="nil"/>
              <w:bottom w:val="nil"/>
              <w:right w:val="nil"/>
            </w:tcBorders>
            <w:shd w:val="clear" w:color="000000" w:fill="FFFFFF"/>
            <w:noWrap/>
            <w:vAlign w:val="bottom"/>
            <w:hideMark/>
          </w:tcPr>
          <w:p w:rsidR="00F4713B" w:rsidRPr="00F4713B" w:rsidRDefault="00F4713B" w:rsidP="00F4713B">
            <w:pPr>
              <w:spacing w:before="0" w:after="0" w:line="240" w:lineRule="auto"/>
              <w:rPr>
                <w:rFonts w:ascii="Arial" w:hAnsi="Arial" w:cs="Arial"/>
                <w:sz w:val="16"/>
                <w:szCs w:val="16"/>
                <w:lang w:eastAsia="en-AU"/>
              </w:rPr>
            </w:pPr>
            <w:r w:rsidRPr="00F4713B">
              <w:rPr>
                <w:rFonts w:ascii="Arial" w:hAnsi="Arial" w:cs="Arial"/>
                <w:sz w:val="16"/>
                <w:szCs w:val="16"/>
                <w:lang w:eastAsia="en-AU"/>
              </w:rPr>
              <w:t>DISTRICT COUNCIL OF YORKE PENINSULA</w:t>
            </w:r>
          </w:p>
        </w:tc>
        <w:tc>
          <w:tcPr>
            <w:tcW w:w="2022" w:type="dxa"/>
            <w:gridSpan w:val="5"/>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Minlaton</w:t>
            </w:r>
          </w:p>
        </w:tc>
        <w:tc>
          <w:tcPr>
            <w:tcW w:w="1545" w:type="dxa"/>
            <w:gridSpan w:val="6"/>
            <w:tcBorders>
              <w:top w:val="nil"/>
              <w:left w:val="nil"/>
              <w:bottom w:val="single" w:sz="8" w:space="0" w:color="auto"/>
              <w:right w:val="nil"/>
            </w:tcBorders>
            <w:shd w:val="clear" w:color="000000" w:fill="FFFFFF"/>
            <w:noWrap/>
            <w:vAlign w:val="bottom"/>
            <w:hideMark/>
          </w:tcPr>
          <w:p w:rsidR="00F4713B" w:rsidRPr="00F4713B" w:rsidRDefault="00F4713B" w:rsidP="002D130C">
            <w:pPr>
              <w:spacing w:before="0" w:after="0" w:line="240" w:lineRule="auto"/>
              <w:jc w:val="center"/>
              <w:rPr>
                <w:rFonts w:ascii="Arial" w:hAnsi="Arial" w:cs="Arial"/>
                <w:sz w:val="16"/>
                <w:szCs w:val="16"/>
                <w:lang w:eastAsia="en-AU"/>
              </w:rPr>
            </w:pPr>
            <w:r w:rsidRPr="00F4713B">
              <w:rPr>
                <w:rFonts w:ascii="Arial" w:hAnsi="Arial" w:cs="Arial"/>
                <w:sz w:val="16"/>
                <w:szCs w:val="16"/>
                <w:lang w:eastAsia="en-AU"/>
              </w:rPr>
              <w:t>J 9</w:t>
            </w:r>
          </w:p>
        </w:tc>
        <w:tc>
          <w:tcPr>
            <w:tcW w:w="865" w:type="dxa"/>
            <w:gridSpan w:val="4"/>
            <w:tcBorders>
              <w:top w:val="nil"/>
              <w:left w:val="single" w:sz="8" w:space="0" w:color="auto"/>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323</w:t>
            </w:r>
          </w:p>
        </w:tc>
        <w:tc>
          <w:tcPr>
            <w:tcW w:w="794"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19</w:t>
            </w:r>
          </w:p>
        </w:tc>
        <w:tc>
          <w:tcPr>
            <w:tcW w:w="1190" w:type="dxa"/>
            <w:gridSpan w:val="6"/>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343</w:t>
            </w:r>
          </w:p>
        </w:tc>
        <w:tc>
          <w:tcPr>
            <w:tcW w:w="1102" w:type="dxa"/>
            <w:gridSpan w:val="4"/>
            <w:tcBorders>
              <w:top w:val="nil"/>
              <w:left w:val="nil"/>
              <w:bottom w:val="nil"/>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sz w:val="16"/>
                <w:szCs w:val="16"/>
                <w:lang w:eastAsia="en-AU"/>
              </w:rPr>
            </w:pPr>
            <w:r w:rsidRPr="00F4713B">
              <w:rPr>
                <w:rFonts w:ascii="Arial" w:hAnsi="Arial" w:cs="Arial"/>
                <w:sz w:val="16"/>
                <w:szCs w:val="16"/>
                <w:lang w:eastAsia="en-AU"/>
              </w:rPr>
              <w:t>0.09</w:t>
            </w:r>
          </w:p>
        </w:tc>
      </w:tr>
      <w:tr w:rsidR="002D130C" w:rsidRPr="00F4713B" w:rsidTr="00BE7AA6">
        <w:trPr>
          <w:gridBefore w:val="2"/>
          <w:wBefore w:w="218" w:type="dxa"/>
          <w:trHeight w:val="240"/>
        </w:trPr>
        <w:tc>
          <w:tcPr>
            <w:tcW w:w="4581" w:type="dxa"/>
            <w:gridSpan w:val="6"/>
            <w:tcBorders>
              <w:top w:val="nil"/>
              <w:left w:val="nil"/>
              <w:bottom w:val="single" w:sz="8" w:space="0" w:color="auto"/>
              <w:right w:val="nil"/>
            </w:tcBorders>
            <w:shd w:val="clear" w:color="auto" w:fill="auto"/>
            <w:noWrap/>
            <w:vAlign w:val="bottom"/>
            <w:hideMark/>
          </w:tcPr>
          <w:p w:rsidR="00F4713B" w:rsidRPr="00F4713B" w:rsidRDefault="00F4713B" w:rsidP="00F4713B">
            <w:pPr>
              <w:spacing w:before="0" w:after="0" w:line="240" w:lineRule="auto"/>
              <w:rPr>
                <w:rFonts w:ascii="Arial" w:hAnsi="Arial" w:cs="Arial"/>
                <w:b/>
                <w:bCs/>
                <w:sz w:val="16"/>
                <w:szCs w:val="16"/>
                <w:lang w:eastAsia="en-AU"/>
              </w:rPr>
            </w:pPr>
            <w:r w:rsidRPr="00F4713B">
              <w:rPr>
                <w:rFonts w:ascii="Arial" w:hAnsi="Arial" w:cs="Arial"/>
                <w:b/>
                <w:bCs/>
                <w:sz w:val="16"/>
                <w:szCs w:val="16"/>
                <w:lang w:eastAsia="en-AU"/>
              </w:rPr>
              <w:t>SCHOOL COMMUNITY PROGRAM</w:t>
            </w:r>
          </w:p>
        </w:tc>
        <w:tc>
          <w:tcPr>
            <w:tcW w:w="1406" w:type="dxa"/>
            <w:gridSpan w:val="6"/>
            <w:tcBorders>
              <w:top w:val="nil"/>
              <w:left w:val="nil"/>
              <w:bottom w:val="single" w:sz="8" w:space="0" w:color="auto"/>
              <w:right w:val="nil"/>
            </w:tcBorders>
            <w:shd w:val="clear" w:color="auto" w:fill="auto"/>
            <w:noWrap/>
            <w:vAlign w:val="bottom"/>
            <w:hideMark/>
          </w:tcPr>
          <w:p w:rsidR="00F4713B" w:rsidRPr="00F4713B" w:rsidRDefault="00F4713B" w:rsidP="00F4713B">
            <w:pPr>
              <w:spacing w:before="0" w:after="0" w:line="240" w:lineRule="auto"/>
              <w:rPr>
                <w:rFonts w:ascii="Arial" w:hAnsi="Arial" w:cs="Arial"/>
                <w:b/>
                <w:bCs/>
                <w:sz w:val="16"/>
                <w:szCs w:val="16"/>
                <w:lang w:eastAsia="en-AU"/>
              </w:rPr>
            </w:pPr>
            <w:r w:rsidRPr="00F4713B">
              <w:rPr>
                <w:rFonts w:ascii="Arial" w:hAnsi="Arial" w:cs="Arial"/>
                <w:b/>
                <w:bCs/>
                <w:sz w:val="16"/>
                <w:szCs w:val="16"/>
                <w:lang w:eastAsia="en-AU"/>
              </w:rPr>
              <w:t> </w:t>
            </w:r>
          </w:p>
        </w:tc>
        <w:tc>
          <w:tcPr>
            <w:tcW w:w="1281" w:type="dxa"/>
            <w:gridSpan w:val="5"/>
            <w:tcBorders>
              <w:top w:val="single" w:sz="8" w:space="0" w:color="auto"/>
              <w:left w:val="nil"/>
              <w:bottom w:val="single" w:sz="8" w:space="0" w:color="auto"/>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b/>
                <w:bCs/>
                <w:sz w:val="16"/>
                <w:szCs w:val="16"/>
                <w:lang w:eastAsia="en-AU"/>
              </w:rPr>
            </w:pPr>
            <w:r w:rsidRPr="00F4713B">
              <w:rPr>
                <w:rFonts w:ascii="Arial" w:hAnsi="Arial" w:cs="Arial"/>
                <w:b/>
                <w:bCs/>
                <w:sz w:val="16"/>
                <w:szCs w:val="16"/>
                <w:lang w:eastAsia="en-AU"/>
              </w:rPr>
              <w:t>13174</w:t>
            </w:r>
          </w:p>
        </w:tc>
        <w:tc>
          <w:tcPr>
            <w:tcW w:w="794" w:type="dxa"/>
            <w:gridSpan w:val="4"/>
            <w:tcBorders>
              <w:top w:val="single" w:sz="8" w:space="0" w:color="auto"/>
              <w:left w:val="nil"/>
              <w:bottom w:val="single" w:sz="8" w:space="0" w:color="auto"/>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b/>
                <w:bCs/>
                <w:sz w:val="16"/>
                <w:szCs w:val="16"/>
                <w:lang w:eastAsia="en-AU"/>
              </w:rPr>
            </w:pPr>
            <w:r w:rsidRPr="00F4713B">
              <w:rPr>
                <w:rFonts w:ascii="Arial" w:hAnsi="Arial" w:cs="Arial"/>
                <w:b/>
                <w:bCs/>
                <w:sz w:val="16"/>
                <w:szCs w:val="16"/>
                <w:lang w:eastAsia="en-AU"/>
              </w:rPr>
              <w:t>1741</w:t>
            </w:r>
          </w:p>
        </w:tc>
        <w:tc>
          <w:tcPr>
            <w:tcW w:w="1190" w:type="dxa"/>
            <w:gridSpan w:val="6"/>
            <w:tcBorders>
              <w:top w:val="single" w:sz="8" w:space="0" w:color="auto"/>
              <w:left w:val="nil"/>
              <w:bottom w:val="single" w:sz="8" w:space="0" w:color="auto"/>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b/>
                <w:bCs/>
                <w:sz w:val="16"/>
                <w:szCs w:val="16"/>
                <w:lang w:eastAsia="en-AU"/>
              </w:rPr>
            </w:pPr>
            <w:r w:rsidRPr="00F4713B">
              <w:rPr>
                <w:rFonts w:ascii="Arial" w:hAnsi="Arial" w:cs="Arial"/>
                <w:b/>
                <w:bCs/>
                <w:sz w:val="16"/>
                <w:szCs w:val="16"/>
                <w:lang w:eastAsia="en-AU"/>
              </w:rPr>
              <w:t>14916</w:t>
            </w:r>
          </w:p>
        </w:tc>
        <w:tc>
          <w:tcPr>
            <w:tcW w:w="1102" w:type="dxa"/>
            <w:gridSpan w:val="4"/>
            <w:tcBorders>
              <w:top w:val="single" w:sz="8" w:space="0" w:color="auto"/>
              <w:left w:val="nil"/>
              <w:bottom w:val="single" w:sz="8" w:space="0" w:color="auto"/>
              <w:right w:val="nil"/>
            </w:tcBorders>
            <w:shd w:val="clear" w:color="auto" w:fill="auto"/>
            <w:noWrap/>
            <w:vAlign w:val="bottom"/>
            <w:hideMark/>
          </w:tcPr>
          <w:p w:rsidR="00F4713B" w:rsidRPr="00F4713B" w:rsidRDefault="00F4713B" w:rsidP="00F4713B">
            <w:pPr>
              <w:spacing w:before="0" w:after="0" w:line="240" w:lineRule="auto"/>
              <w:jc w:val="right"/>
              <w:rPr>
                <w:rFonts w:ascii="Arial" w:hAnsi="Arial" w:cs="Arial"/>
                <w:b/>
                <w:bCs/>
                <w:sz w:val="16"/>
                <w:szCs w:val="16"/>
                <w:lang w:eastAsia="en-AU"/>
              </w:rPr>
            </w:pPr>
            <w:r w:rsidRPr="00F4713B">
              <w:rPr>
                <w:rFonts w:ascii="Arial" w:hAnsi="Arial" w:cs="Arial"/>
                <w:b/>
                <w:bCs/>
                <w:sz w:val="16"/>
                <w:szCs w:val="16"/>
                <w:lang w:eastAsia="en-AU"/>
              </w:rPr>
              <w:t>4.06</w:t>
            </w:r>
          </w:p>
        </w:tc>
      </w:tr>
    </w:tbl>
    <w:p w:rsidR="00C9645A" w:rsidRDefault="00C9645A" w:rsidP="00C9645A"/>
    <w:p w:rsidR="00C9645A" w:rsidRDefault="00C9645A" w:rsidP="00C9645A"/>
    <w:p w:rsidR="00C9645A" w:rsidRDefault="00C9645A" w:rsidP="00C9645A"/>
    <w:p w:rsidR="00C9645A" w:rsidRDefault="00C9645A" w:rsidP="00C9645A"/>
    <w:p w:rsidR="00C9645A" w:rsidRDefault="00C9645A" w:rsidP="00C9645A"/>
    <w:p w:rsidR="00C9645A" w:rsidRDefault="00133582" w:rsidP="00C9645A">
      <w:r>
        <w:t>*Community Language Other refers to a secondary levy based on the proportion of multicultural population in each individual council (according to ABS census data). The two parts of the levy are combined to determine the overall contribution of each library to the Community Language levy.</w:t>
      </w:r>
    </w:p>
    <w:p w:rsidR="00C9645A" w:rsidRDefault="00C9645A" w:rsidP="00C9645A"/>
    <w:p w:rsidR="00C9645A" w:rsidRDefault="00C9645A" w:rsidP="00C9645A"/>
    <w:p w:rsidR="00C9645A" w:rsidRDefault="00C9645A" w:rsidP="00C9645A"/>
    <w:p w:rsidR="00C9645A" w:rsidRDefault="00C9645A" w:rsidP="00C9645A"/>
    <w:p w:rsidR="00C9645A" w:rsidRDefault="00C9645A" w:rsidP="00C9645A"/>
    <w:p w:rsidR="00C9645A" w:rsidRDefault="00C9645A" w:rsidP="00C9645A"/>
    <w:p w:rsidR="00C9645A" w:rsidRDefault="00C9645A" w:rsidP="00C9645A"/>
    <w:p w:rsidR="00C9645A" w:rsidRDefault="00C9645A" w:rsidP="00C9645A"/>
    <w:p w:rsidR="00C9645A" w:rsidRDefault="00C9645A" w:rsidP="00C9645A"/>
    <w:p w:rsidR="00C9645A" w:rsidRDefault="00C9645A" w:rsidP="00C9645A">
      <w:pPr>
        <w:pStyle w:val="Heading2"/>
      </w:pPr>
      <w:r>
        <w:t xml:space="preserve">E: </w:t>
      </w:r>
      <w:r>
        <w:tab/>
        <w:t>Issues to address in the Strategy</w:t>
      </w:r>
    </w:p>
    <w:p w:rsidR="00C9645A" w:rsidRPr="00C9645A" w:rsidRDefault="006748D8" w:rsidP="00C9645A">
      <w:r>
        <w:t>Summarizing discussion from the Community Languages Strategic Planning Session</w:t>
      </w:r>
    </w:p>
    <w:p w:rsidR="002C7195" w:rsidRPr="00DA7492" w:rsidRDefault="002C7195" w:rsidP="00DA7492">
      <w:pPr>
        <w:spacing w:before="240"/>
        <w:rPr>
          <w:i/>
        </w:rPr>
      </w:pPr>
      <w:r w:rsidRPr="00DA7492">
        <w:rPr>
          <w:i/>
        </w:rPr>
        <w:t>Audio visual</w:t>
      </w:r>
    </w:p>
    <w:p w:rsidR="002C7195" w:rsidRDefault="002C7195" w:rsidP="002C7195">
      <w:pPr>
        <w:pStyle w:val="ListParagraph"/>
        <w:numPr>
          <w:ilvl w:val="0"/>
          <w:numId w:val="12"/>
        </w:numPr>
      </w:pPr>
      <w:r>
        <w:t>How to manage the lack of Australian Classification of materials in other languages</w:t>
      </w:r>
    </w:p>
    <w:p w:rsidR="002C7195" w:rsidRDefault="002C7195" w:rsidP="002C7195">
      <w:pPr>
        <w:pStyle w:val="ListParagraph"/>
        <w:numPr>
          <w:ilvl w:val="0"/>
          <w:numId w:val="12"/>
        </w:numPr>
      </w:pPr>
      <w:r>
        <w:t>What do we do about DVDs?</w:t>
      </w:r>
    </w:p>
    <w:p w:rsidR="002C7195" w:rsidRPr="00DA7492" w:rsidRDefault="002C7195" w:rsidP="00DA7492">
      <w:pPr>
        <w:spacing w:before="240"/>
        <w:rPr>
          <w:i/>
        </w:rPr>
      </w:pPr>
      <w:r w:rsidRPr="00DA7492">
        <w:rPr>
          <w:i/>
        </w:rPr>
        <w:t>Partnerships</w:t>
      </w:r>
    </w:p>
    <w:p w:rsidR="002C7195" w:rsidRDefault="002C7195" w:rsidP="002C7195">
      <w:pPr>
        <w:pStyle w:val="ListParagraph"/>
        <w:numPr>
          <w:ilvl w:val="0"/>
          <w:numId w:val="12"/>
        </w:numPr>
      </w:pPr>
      <w:r>
        <w:t xml:space="preserve">Who else is working in the CALD space, and how do we work with them? </w:t>
      </w:r>
    </w:p>
    <w:p w:rsidR="002C7195" w:rsidRDefault="002C7195" w:rsidP="002C7195">
      <w:pPr>
        <w:pStyle w:val="ListParagraph"/>
        <w:numPr>
          <w:ilvl w:val="0"/>
          <w:numId w:val="12"/>
        </w:numPr>
      </w:pPr>
      <w:r>
        <w:t>How do we know they exist?</w:t>
      </w:r>
    </w:p>
    <w:p w:rsidR="002C7195" w:rsidRDefault="002C7195" w:rsidP="002C7195">
      <w:pPr>
        <w:pStyle w:val="ListParagraph"/>
        <w:numPr>
          <w:ilvl w:val="0"/>
          <w:numId w:val="12"/>
        </w:numPr>
      </w:pPr>
      <w:r>
        <w:t>Who has funds?</w:t>
      </w:r>
    </w:p>
    <w:p w:rsidR="002C7195" w:rsidRPr="00DA7492" w:rsidRDefault="002C7195" w:rsidP="00DA7492">
      <w:pPr>
        <w:spacing w:before="240"/>
        <w:rPr>
          <w:i/>
        </w:rPr>
      </w:pPr>
      <w:r w:rsidRPr="00DA7492">
        <w:rPr>
          <w:i/>
        </w:rPr>
        <w:t>New migrants</w:t>
      </w:r>
    </w:p>
    <w:p w:rsidR="002C7195" w:rsidRDefault="002C7195" w:rsidP="002C7195">
      <w:pPr>
        <w:pStyle w:val="ListParagraph"/>
        <w:numPr>
          <w:ilvl w:val="0"/>
          <w:numId w:val="12"/>
        </w:numPr>
      </w:pPr>
      <w:r>
        <w:t>Should libraries treat CALD as two groups, new migrants and well established migrants</w:t>
      </w:r>
    </w:p>
    <w:p w:rsidR="002C7195" w:rsidRDefault="002C7195" w:rsidP="002C7195">
      <w:pPr>
        <w:pStyle w:val="ListParagraph"/>
        <w:numPr>
          <w:ilvl w:val="0"/>
          <w:numId w:val="12"/>
        </w:numPr>
      </w:pPr>
      <w:r>
        <w:t>Which groups are to be targeted by the Strategic Plan: students, new arrivals, business/skilled migrants, long standing residents</w:t>
      </w:r>
    </w:p>
    <w:p w:rsidR="002C7195" w:rsidRPr="00DA7492" w:rsidRDefault="002C7195" w:rsidP="00DA7492">
      <w:pPr>
        <w:spacing w:before="240"/>
        <w:rPr>
          <w:i/>
        </w:rPr>
      </w:pPr>
      <w:r w:rsidRPr="00DA7492">
        <w:rPr>
          <w:i/>
        </w:rPr>
        <w:t>Cultural awareness</w:t>
      </w:r>
    </w:p>
    <w:p w:rsidR="002C7195" w:rsidRDefault="002C7195" w:rsidP="002C7195">
      <w:pPr>
        <w:pStyle w:val="ListParagraph"/>
        <w:numPr>
          <w:ilvl w:val="0"/>
          <w:numId w:val="12"/>
        </w:numPr>
      </w:pPr>
      <w:r>
        <w:t>How do we access culturally appropriate information (e.g. who to speak about inappropriate behaviour)</w:t>
      </w:r>
    </w:p>
    <w:p w:rsidR="002C7195" w:rsidRPr="00DA7492" w:rsidRDefault="002C7195" w:rsidP="00DA7492">
      <w:pPr>
        <w:spacing w:before="240"/>
        <w:rPr>
          <w:i/>
        </w:rPr>
      </w:pPr>
      <w:r w:rsidRPr="00DA7492">
        <w:rPr>
          <w:i/>
        </w:rPr>
        <w:t>Collections</w:t>
      </w:r>
    </w:p>
    <w:p w:rsidR="002C7195" w:rsidRDefault="002C7195" w:rsidP="002C7195">
      <w:pPr>
        <w:pStyle w:val="ListParagraph"/>
        <w:numPr>
          <w:ilvl w:val="0"/>
          <w:numId w:val="12"/>
        </w:numPr>
      </w:pPr>
      <w:r>
        <w:t>Should we have a single central LOTE collection?</w:t>
      </w:r>
    </w:p>
    <w:p w:rsidR="002C7195" w:rsidRDefault="002C7195" w:rsidP="002C7195">
      <w:pPr>
        <w:pStyle w:val="ListParagraph"/>
        <w:numPr>
          <w:ilvl w:val="0"/>
          <w:numId w:val="12"/>
        </w:numPr>
      </w:pPr>
      <w:r>
        <w:t>Should LOTE magazines be handled centrally?</w:t>
      </w:r>
    </w:p>
    <w:p w:rsidR="002C7195" w:rsidRPr="00DA7492" w:rsidRDefault="002C7195" w:rsidP="00DA7492">
      <w:pPr>
        <w:spacing w:before="240"/>
        <w:rPr>
          <w:i/>
        </w:rPr>
      </w:pPr>
      <w:r w:rsidRPr="00DA7492">
        <w:rPr>
          <w:i/>
        </w:rPr>
        <w:t>Cataloguing</w:t>
      </w:r>
    </w:p>
    <w:p w:rsidR="002C7195" w:rsidRDefault="002C7195" w:rsidP="002C7195">
      <w:pPr>
        <w:pStyle w:val="ListParagraph"/>
        <w:numPr>
          <w:ilvl w:val="0"/>
          <w:numId w:val="12"/>
        </w:numPr>
      </w:pPr>
      <w:r>
        <w:t>Why is the cost of cataloguing taken out of the Languages Materials budget, but this does not apply for English materials?</w:t>
      </w:r>
    </w:p>
    <w:p w:rsidR="002C7195" w:rsidRPr="00DA7492" w:rsidRDefault="002C7195" w:rsidP="00DA7492">
      <w:pPr>
        <w:spacing w:before="240"/>
        <w:rPr>
          <w:i/>
        </w:rPr>
      </w:pPr>
      <w:r w:rsidRPr="00DA7492">
        <w:rPr>
          <w:i/>
        </w:rPr>
        <w:t>Dialects</w:t>
      </w:r>
    </w:p>
    <w:p w:rsidR="002C7195" w:rsidRDefault="002C7195" w:rsidP="002C7195">
      <w:pPr>
        <w:pStyle w:val="ListParagraph"/>
        <w:numPr>
          <w:ilvl w:val="0"/>
          <w:numId w:val="12"/>
        </w:numPr>
      </w:pPr>
      <w:r>
        <w:t>How do we find out which dialects service the largest proportion of a specific language group?</w:t>
      </w:r>
    </w:p>
    <w:p w:rsidR="002C7195" w:rsidRPr="00DA7492" w:rsidRDefault="002C7195" w:rsidP="00DA7492">
      <w:pPr>
        <w:spacing w:before="240"/>
        <w:rPr>
          <w:i/>
        </w:rPr>
      </w:pPr>
      <w:r w:rsidRPr="00DA7492">
        <w:rPr>
          <w:i/>
        </w:rPr>
        <w:t>Programs</w:t>
      </w:r>
    </w:p>
    <w:p w:rsidR="002C7195" w:rsidRDefault="002C7195" w:rsidP="002C7195">
      <w:pPr>
        <w:pStyle w:val="ListParagraph"/>
        <w:numPr>
          <w:ilvl w:val="0"/>
          <w:numId w:val="12"/>
        </w:numPr>
      </w:pPr>
      <w:r>
        <w:t>Programming staff need help with interaction - staff training</w:t>
      </w:r>
    </w:p>
    <w:p w:rsidR="002C7195" w:rsidRPr="00DA7492" w:rsidRDefault="002C7195" w:rsidP="00DA7492">
      <w:pPr>
        <w:spacing w:before="240"/>
        <w:rPr>
          <w:i/>
        </w:rPr>
      </w:pPr>
      <w:r w:rsidRPr="00DA7492">
        <w:rPr>
          <w:i/>
        </w:rPr>
        <w:t>Information</w:t>
      </w:r>
    </w:p>
    <w:p w:rsidR="002C7195" w:rsidRDefault="002C7195" w:rsidP="002C7195">
      <w:pPr>
        <w:pStyle w:val="ListParagraph"/>
        <w:numPr>
          <w:ilvl w:val="0"/>
          <w:numId w:val="12"/>
        </w:numPr>
      </w:pPr>
      <w:r>
        <w:t>We need FAQs about libraries in every language online</w:t>
      </w:r>
    </w:p>
    <w:p w:rsidR="002C7195" w:rsidRPr="00DA7492" w:rsidRDefault="002C7195" w:rsidP="00DA7492">
      <w:pPr>
        <w:spacing w:before="240"/>
        <w:rPr>
          <w:i/>
        </w:rPr>
      </w:pPr>
      <w:r w:rsidRPr="00DA7492">
        <w:rPr>
          <w:i/>
        </w:rPr>
        <w:t>Responsiveness</w:t>
      </w:r>
    </w:p>
    <w:p w:rsidR="002C7195" w:rsidRDefault="002C7195" w:rsidP="002C7195">
      <w:pPr>
        <w:pStyle w:val="ListParagraph"/>
        <w:numPr>
          <w:ilvl w:val="0"/>
          <w:numId w:val="12"/>
        </w:numPr>
      </w:pPr>
      <w:r>
        <w:t>How can we quickly manage the changing needs of CALD communities?</w:t>
      </w:r>
    </w:p>
    <w:p w:rsidR="002C7195" w:rsidRDefault="002C7195" w:rsidP="002C7195">
      <w:pPr>
        <w:pStyle w:val="ListParagraph"/>
        <w:numPr>
          <w:ilvl w:val="0"/>
          <w:numId w:val="12"/>
        </w:numPr>
      </w:pPr>
      <w:r>
        <w:t>How can we allocate funds appropriately in a changing environment?</w:t>
      </w:r>
    </w:p>
    <w:p w:rsidR="002C7195" w:rsidRPr="00C37D72" w:rsidRDefault="002C7195" w:rsidP="002C7195">
      <w:pPr>
        <w:pStyle w:val="ListParagraph"/>
        <w:numPr>
          <w:ilvl w:val="0"/>
          <w:numId w:val="12"/>
        </w:numPr>
      </w:pPr>
      <w:r>
        <w:t>How can libraries share knowledge better across regions?</w:t>
      </w:r>
    </w:p>
    <w:p w:rsidR="0094369F" w:rsidRPr="00DA7492" w:rsidRDefault="0094369F" w:rsidP="008652C9">
      <w:pPr>
        <w:spacing w:before="0" w:after="0" w:line="240" w:lineRule="auto"/>
        <w:rPr>
          <w:i/>
        </w:rPr>
      </w:pPr>
      <w:r>
        <w:br w:type="page"/>
      </w:r>
      <w:r w:rsidRPr="00DA7492">
        <w:rPr>
          <w:i/>
        </w:rPr>
        <w:t>What do we need to change?</w:t>
      </w:r>
    </w:p>
    <w:p w:rsidR="0094369F" w:rsidRDefault="0094369F" w:rsidP="0094369F">
      <w:pPr>
        <w:pStyle w:val="ListParagraph"/>
        <w:numPr>
          <w:ilvl w:val="0"/>
          <w:numId w:val="16"/>
        </w:numPr>
      </w:pPr>
      <w:r>
        <w:t>1LMS should make it better, with a centralised contribution and centralised funding - but how do we know whether we are buying what customers want?</w:t>
      </w:r>
    </w:p>
    <w:p w:rsidR="0094369F" w:rsidRDefault="0094369F" w:rsidP="0094369F">
      <w:pPr>
        <w:pStyle w:val="ListParagraph"/>
        <w:numPr>
          <w:ilvl w:val="0"/>
          <w:numId w:val="16"/>
        </w:numPr>
      </w:pPr>
      <w:r>
        <w:t>Libraries work independently, which means they can be responsive to their communities, but they need to work together better to share ideas and resources</w:t>
      </w:r>
    </w:p>
    <w:p w:rsidR="0094369F" w:rsidRDefault="0094369F" w:rsidP="0094369F">
      <w:pPr>
        <w:pStyle w:val="ListParagraph"/>
        <w:numPr>
          <w:ilvl w:val="0"/>
          <w:numId w:val="16"/>
        </w:numPr>
      </w:pPr>
      <w:r>
        <w:t>Need to improve communication, program and information sharing</w:t>
      </w:r>
    </w:p>
    <w:p w:rsidR="0094369F" w:rsidRDefault="0094369F" w:rsidP="0094369F">
      <w:pPr>
        <w:pStyle w:val="ListParagraph"/>
        <w:numPr>
          <w:ilvl w:val="0"/>
          <w:numId w:val="16"/>
        </w:numPr>
      </w:pPr>
      <w:r>
        <w:t>What's the best way of spending our money: books or programs?</w:t>
      </w:r>
    </w:p>
    <w:p w:rsidR="0094369F" w:rsidRDefault="0094369F" w:rsidP="0094369F">
      <w:pPr>
        <w:pStyle w:val="ListParagraph"/>
        <w:numPr>
          <w:ilvl w:val="0"/>
          <w:numId w:val="16"/>
        </w:numPr>
      </w:pPr>
      <w:r>
        <w:t>Lack of awareness of the Overdrive availability in different languages</w:t>
      </w:r>
    </w:p>
    <w:p w:rsidR="0094369F" w:rsidRDefault="0094369F" w:rsidP="0094369F">
      <w:pPr>
        <w:pStyle w:val="ListParagraph"/>
        <w:numPr>
          <w:ilvl w:val="0"/>
          <w:numId w:val="16"/>
        </w:numPr>
      </w:pPr>
      <w:r>
        <w:t>Cultural awareness of different groups</w:t>
      </w:r>
    </w:p>
    <w:p w:rsidR="0094369F" w:rsidRDefault="0094369F" w:rsidP="0094369F">
      <w:pPr>
        <w:pStyle w:val="ListParagraph"/>
        <w:numPr>
          <w:ilvl w:val="0"/>
          <w:numId w:val="16"/>
        </w:numPr>
      </w:pPr>
      <w:r>
        <w:t>Staff resources - many libraries don't have a dedicated person to liaise with the community</w:t>
      </w:r>
    </w:p>
    <w:p w:rsidR="0094369F" w:rsidRDefault="0094369F" w:rsidP="0094369F">
      <w:pPr>
        <w:pStyle w:val="ListParagraph"/>
        <w:numPr>
          <w:ilvl w:val="0"/>
          <w:numId w:val="16"/>
        </w:numPr>
      </w:pPr>
      <w:r>
        <w:t>Multi-lingual options on 1LMS</w:t>
      </w:r>
    </w:p>
    <w:p w:rsidR="0094369F" w:rsidRDefault="0094369F" w:rsidP="0094369F">
      <w:pPr>
        <w:pStyle w:val="ListParagraph"/>
        <w:numPr>
          <w:ilvl w:val="0"/>
          <w:numId w:val="16"/>
        </w:numPr>
      </w:pPr>
      <w:r>
        <w:t>Catalogue performance with book covers (not visible or searchable titles)</w:t>
      </w:r>
    </w:p>
    <w:p w:rsidR="0094369F" w:rsidRDefault="0094369F" w:rsidP="0094369F">
      <w:pPr>
        <w:pStyle w:val="ListParagraph"/>
        <w:numPr>
          <w:ilvl w:val="0"/>
          <w:numId w:val="16"/>
        </w:numPr>
      </w:pPr>
      <w:r>
        <w:t>Volunteers can be a bit hit and miss</w:t>
      </w:r>
    </w:p>
    <w:p w:rsidR="0094369F" w:rsidRDefault="0094369F" w:rsidP="0094369F">
      <w:pPr>
        <w:pStyle w:val="ListParagraph"/>
        <w:numPr>
          <w:ilvl w:val="0"/>
          <w:numId w:val="16"/>
        </w:numPr>
      </w:pPr>
      <w:r>
        <w:t>Better signage to invite people to tell us what they want</w:t>
      </w:r>
    </w:p>
    <w:p w:rsidR="0094369F" w:rsidRDefault="0094369F" w:rsidP="0094369F">
      <w:pPr>
        <w:pStyle w:val="ListParagraph"/>
        <w:numPr>
          <w:ilvl w:val="0"/>
          <w:numId w:val="16"/>
        </w:numPr>
      </w:pPr>
      <w:r>
        <w:t>Bilingual story time and Baby Bounce</w:t>
      </w:r>
    </w:p>
    <w:p w:rsidR="0094369F" w:rsidRDefault="0094369F" w:rsidP="0094369F">
      <w:pPr>
        <w:pStyle w:val="ListParagraph"/>
        <w:numPr>
          <w:ilvl w:val="0"/>
          <w:numId w:val="16"/>
        </w:numPr>
      </w:pPr>
      <w:r>
        <w:t>Staff training</w:t>
      </w:r>
    </w:p>
    <w:p w:rsidR="0094369F" w:rsidRDefault="0094369F" w:rsidP="0094369F">
      <w:pPr>
        <w:pStyle w:val="ListParagraph"/>
        <w:numPr>
          <w:ilvl w:val="0"/>
          <w:numId w:val="16"/>
        </w:numPr>
      </w:pPr>
      <w:r>
        <w:t>Contact with community groups</w:t>
      </w:r>
    </w:p>
    <w:p w:rsidR="0094369F" w:rsidRDefault="0094369F" w:rsidP="0094369F">
      <w:pPr>
        <w:pStyle w:val="ListParagraph"/>
        <w:numPr>
          <w:ilvl w:val="0"/>
          <w:numId w:val="16"/>
        </w:numPr>
      </w:pPr>
      <w:r>
        <w:t>Sharing best practice</w:t>
      </w:r>
    </w:p>
    <w:p w:rsidR="0094369F" w:rsidRDefault="0094369F" w:rsidP="0094369F">
      <w:pPr>
        <w:pStyle w:val="ListParagraph"/>
        <w:numPr>
          <w:ilvl w:val="0"/>
          <w:numId w:val="16"/>
        </w:numPr>
      </w:pPr>
      <w:r>
        <w:t>Bilingual early literacy</w:t>
      </w:r>
    </w:p>
    <w:p w:rsidR="0094369F" w:rsidRDefault="0094369F" w:rsidP="0094369F">
      <w:pPr>
        <w:pStyle w:val="ListParagraph"/>
        <w:numPr>
          <w:ilvl w:val="0"/>
          <w:numId w:val="16"/>
        </w:numPr>
      </w:pPr>
      <w:r>
        <w:t>Audio visual collections</w:t>
      </w:r>
    </w:p>
    <w:p w:rsidR="0094369F" w:rsidRDefault="0094369F" w:rsidP="0094369F">
      <w:pPr>
        <w:pStyle w:val="ListParagraph"/>
        <w:numPr>
          <w:ilvl w:val="0"/>
          <w:numId w:val="16"/>
        </w:numPr>
      </w:pPr>
      <w:r>
        <w:t>Searching for aged stock and rotations are still and issue</w:t>
      </w:r>
    </w:p>
    <w:p w:rsidR="0094369F" w:rsidRDefault="0094369F" w:rsidP="0094369F">
      <w:pPr>
        <w:pStyle w:val="ListParagraph"/>
        <w:numPr>
          <w:ilvl w:val="0"/>
          <w:numId w:val="16"/>
        </w:numPr>
      </w:pPr>
      <w:r>
        <w:t>Need a strategic direction for our efforts rather than trying to do it all</w:t>
      </w:r>
    </w:p>
    <w:p w:rsidR="0094369F" w:rsidRDefault="0094369F" w:rsidP="0094369F">
      <w:pPr>
        <w:pStyle w:val="ListParagraph"/>
        <w:numPr>
          <w:ilvl w:val="0"/>
          <w:numId w:val="16"/>
        </w:numPr>
      </w:pPr>
      <w:r>
        <w:t>What do new arrivals (and existing residents) want from our services? We always feel we are guessing. Do they want programs and events, collections, or both?</w:t>
      </w:r>
    </w:p>
    <w:p w:rsidR="0094369F" w:rsidRDefault="0094369F" w:rsidP="0094369F">
      <w:pPr>
        <w:pStyle w:val="ListParagraph"/>
        <w:numPr>
          <w:ilvl w:val="0"/>
          <w:numId w:val="16"/>
        </w:numPr>
      </w:pPr>
      <w:r>
        <w:t>We need further exploration of the One Card network and how CALD communities access materials.</w:t>
      </w:r>
    </w:p>
    <w:p w:rsidR="0094369F" w:rsidRPr="006D3450" w:rsidRDefault="0094369F" w:rsidP="0094369F"/>
    <w:p w:rsidR="0057409D" w:rsidRDefault="0057409D">
      <w:pPr>
        <w:spacing w:before="0" w:after="0" w:line="240" w:lineRule="auto"/>
      </w:pPr>
    </w:p>
    <w:p w:rsidR="0094369F" w:rsidRDefault="0094369F">
      <w:pPr>
        <w:spacing w:before="0" w:after="0" w:line="240" w:lineRule="auto"/>
        <w:rPr>
          <w:rFonts w:asciiTheme="majorHAnsi" w:eastAsiaTheme="majorEastAsia" w:hAnsiTheme="majorHAnsi" w:cstheme="majorBidi"/>
          <w:color w:val="244061" w:themeColor="accent1" w:themeShade="80"/>
          <w:sz w:val="26"/>
          <w:szCs w:val="26"/>
        </w:rPr>
      </w:pPr>
      <w:r>
        <w:br w:type="page"/>
      </w:r>
    </w:p>
    <w:p w:rsidR="002C7195" w:rsidRDefault="00901973" w:rsidP="0057409D">
      <w:pPr>
        <w:pStyle w:val="Heading2"/>
      </w:pPr>
      <w:bookmarkStart w:id="26" w:name="_Toc374595997"/>
      <w:r>
        <w:t>F</w:t>
      </w:r>
      <w:r w:rsidR="0057409D">
        <w:t>:</w:t>
      </w:r>
      <w:r w:rsidR="0057409D">
        <w:tab/>
      </w:r>
      <w:r w:rsidR="008319DB">
        <w:t xml:space="preserve">Good Practice: </w:t>
      </w:r>
      <w:r w:rsidR="00397D62">
        <w:t xml:space="preserve"> </w:t>
      </w:r>
      <w:r w:rsidR="0057409D">
        <w:t>What are we doing well?</w:t>
      </w:r>
      <w:bookmarkEnd w:id="26"/>
    </w:p>
    <w:p w:rsidR="006748D8" w:rsidRPr="00C9645A" w:rsidRDefault="006748D8" w:rsidP="006748D8">
      <w:r>
        <w:t>Summarizing discussion from the Community Languages Strategic Planning Session</w:t>
      </w:r>
    </w:p>
    <w:p w:rsidR="0057409D" w:rsidRPr="00DA7492" w:rsidRDefault="0057409D" w:rsidP="00DA7492">
      <w:pPr>
        <w:spacing w:before="240"/>
        <w:rPr>
          <w:i/>
        </w:rPr>
      </w:pPr>
      <w:r w:rsidRPr="00DA7492">
        <w:rPr>
          <w:i/>
        </w:rPr>
        <w:t>Across the network</w:t>
      </w:r>
    </w:p>
    <w:p w:rsidR="0057409D" w:rsidRDefault="0057409D" w:rsidP="0057409D">
      <w:pPr>
        <w:pStyle w:val="ListParagraph"/>
        <w:numPr>
          <w:ilvl w:val="0"/>
          <w:numId w:val="15"/>
        </w:numPr>
      </w:pPr>
      <w:r>
        <w:t>1LMS enables sharing and maximising of resources, and is cutting down on accessibility barriers, it has made libraries less insular, we have a better understanding of 1LMS and can start leveraging its strengths</w:t>
      </w:r>
    </w:p>
    <w:p w:rsidR="0057409D" w:rsidRDefault="0057409D" w:rsidP="0057409D">
      <w:pPr>
        <w:pStyle w:val="ListParagraph"/>
        <w:numPr>
          <w:ilvl w:val="0"/>
          <w:numId w:val="15"/>
        </w:numPr>
      </w:pPr>
      <w:r>
        <w:t>Our intent is good</w:t>
      </w:r>
    </w:p>
    <w:p w:rsidR="0057409D" w:rsidRDefault="0057409D" w:rsidP="0057409D">
      <w:pPr>
        <w:pStyle w:val="ListParagraph"/>
        <w:numPr>
          <w:ilvl w:val="0"/>
          <w:numId w:val="15"/>
        </w:numPr>
      </w:pPr>
      <w:r>
        <w:t>Better stock</w:t>
      </w:r>
    </w:p>
    <w:p w:rsidR="0057409D" w:rsidRDefault="0057409D" w:rsidP="0057409D">
      <w:pPr>
        <w:pStyle w:val="ListParagraph"/>
        <w:numPr>
          <w:ilvl w:val="0"/>
          <w:numId w:val="15"/>
        </w:numPr>
      </w:pPr>
      <w:r>
        <w:t>Books!</w:t>
      </w:r>
    </w:p>
    <w:p w:rsidR="0057409D" w:rsidRDefault="0057409D" w:rsidP="0057409D">
      <w:pPr>
        <w:pStyle w:val="ListParagraph"/>
        <w:numPr>
          <w:ilvl w:val="0"/>
          <w:numId w:val="15"/>
        </w:numPr>
      </w:pPr>
      <w:r>
        <w:t>More engagement with the community than previously</w:t>
      </w:r>
    </w:p>
    <w:p w:rsidR="0057409D" w:rsidRDefault="0057409D" w:rsidP="0057409D">
      <w:pPr>
        <w:pStyle w:val="ListParagraph"/>
        <w:numPr>
          <w:ilvl w:val="0"/>
          <w:numId w:val="15"/>
        </w:numPr>
      </w:pPr>
      <w:r>
        <w:t>Cataloguing, resources are now available across the state</w:t>
      </w:r>
    </w:p>
    <w:p w:rsidR="0057409D" w:rsidRDefault="0057409D" w:rsidP="0057409D">
      <w:pPr>
        <w:pStyle w:val="ListParagraph"/>
        <w:numPr>
          <w:ilvl w:val="0"/>
          <w:numId w:val="15"/>
        </w:numPr>
      </w:pPr>
      <w:r>
        <w:t>Customer requests are working well - policy, procedure, purchasing</w:t>
      </w:r>
    </w:p>
    <w:p w:rsidR="0057409D" w:rsidRDefault="0057409D" w:rsidP="0057409D">
      <w:pPr>
        <w:pStyle w:val="ListParagraph"/>
        <w:numPr>
          <w:ilvl w:val="0"/>
          <w:numId w:val="15"/>
        </w:numPr>
      </w:pPr>
      <w:r>
        <w:t xml:space="preserve">We have timely material that is discoverable </w:t>
      </w:r>
    </w:p>
    <w:p w:rsidR="0057409D" w:rsidRDefault="0057409D" w:rsidP="0057409D">
      <w:pPr>
        <w:pStyle w:val="ListParagraph"/>
        <w:numPr>
          <w:ilvl w:val="0"/>
          <w:numId w:val="15"/>
        </w:numPr>
      </w:pPr>
      <w:r>
        <w:t>Trying to serve the community using statistics to guide decision-making and respond to changes in communities</w:t>
      </w:r>
    </w:p>
    <w:p w:rsidR="0057409D" w:rsidRDefault="0057409D" w:rsidP="0057409D"/>
    <w:p w:rsidR="0057409D" w:rsidRPr="00DA7492" w:rsidRDefault="0057409D" w:rsidP="00DA7492">
      <w:pPr>
        <w:spacing w:before="240"/>
        <w:rPr>
          <w:i/>
        </w:rPr>
      </w:pPr>
      <w:r w:rsidRPr="00DA7492">
        <w:rPr>
          <w:i/>
        </w:rPr>
        <w:t>Individual libraries</w:t>
      </w:r>
    </w:p>
    <w:p w:rsidR="0057409D" w:rsidRDefault="0057409D" w:rsidP="0057409D">
      <w:pPr>
        <w:pStyle w:val="ListParagraph"/>
        <w:numPr>
          <w:ilvl w:val="0"/>
          <w:numId w:val="14"/>
        </w:numPr>
      </w:pPr>
      <w:r>
        <w:t>Many libraries include CALD communities within the library, focus groups and use language specialist selectors</w:t>
      </w:r>
    </w:p>
    <w:p w:rsidR="0057409D" w:rsidRDefault="0057409D" w:rsidP="0057409D">
      <w:pPr>
        <w:pStyle w:val="ListParagraph"/>
        <w:numPr>
          <w:ilvl w:val="0"/>
          <w:numId w:val="14"/>
        </w:numPr>
      </w:pPr>
      <w:r>
        <w:t>Marion has good Chinese, Japanese and Polish collections - and does a survey for core languages</w:t>
      </w:r>
    </w:p>
    <w:p w:rsidR="0057409D" w:rsidRDefault="0057409D" w:rsidP="0057409D">
      <w:pPr>
        <w:pStyle w:val="ListParagraph"/>
        <w:numPr>
          <w:ilvl w:val="0"/>
          <w:numId w:val="14"/>
        </w:numPr>
      </w:pPr>
      <w:r>
        <w:t>Port Adelaide Enfield uses ABS statistics, magazine use and programs to assess collections and service demand</w:t>
      </w:r>
    </w:p>
    <w:p w:rsidR="0057409D" w:rsidRDefault="0057409D" w:rsidP="0057409D">
      <w:pPr>
        <w:pStyle w:val="ListParagraph"/>
        <w:numPr>
          <w:ilvl w:val="0"/>
          <w:numId w:val="14"/>
        </w:numPr>
      </w:pPr>
      <w:r>
        <w:t>Norwood Payneham &amp; St Peters' programs attract CALD residents</w:t>
      </w:r>
    </w:p>
    <w:p w:rsidR="0057409D" w:rsidRDefault="0057409D" w:rsidP="0057409D">
      <w:pPr>
        <w:pStyle w:val="ListParagraph"/>
        <w:numPr>
          <w:ilvl w:val="0"/>
          <w:numId w:val="14"/>
        </w:numPr>
      </w:pPr>
      <w:r>
        <w:t>Salisbury has excellent multi-lingual programs</w:t>
      </w:r>
    </w:p>
    <w:p w:rsidR="0057409D" w:rsidRDefault="0057409D" w:rsidP="0057409D">
      <w:pPr>
        <w:pStyle w:val="ListParagraph"/>
        <w:numPr>
          <w:ilvl w:val="0"/>
          <w:numId w:val="14"/>
        </w:numPr>
      </w:pPr>
      <w:r>
        <w:t>Outreach and English as a Second Language (ESL) classes are champions while other programs need encouragement</w:t>
      </w:r>
    </w:p>
    <w:p w:rsidR="00453FB9" w:rsidRDefault="0057409D" w:rsidP="00901973">
      <w:pPr>
        <w:pStyle w:val="ListParagraph"/>
        <w:numPr>
          <w:ilvl w:val="0"/>
          <w:numId w:val="14"/>
        </w:numPr>
      </w:pPr>
      <w:r>
        <w:t>Partnering with the Migrant Resource Centre and Australian Refugee Association</w:t>
      </w:r>
    </w:p>
    <w:p w:rsidR="00453FB9" w:rsidRDefault="00453FB9" w:rsidP="00901973">
      <w:pPr>
        <w:pStyle w:val="Heading2"/>
      </w:pPr>
    </w:p>
    <w:p w:rsidR="00453FB9" w:rsidRDefault="00453FB9" w:rsidP="00901973">
      <w:pPr>
        <w:pStyle w:val="Heading2"/>
      </w:pPr>
    </w:p>
    <w:p w:rsidR="00453FB9" w:rsidRDefault="00453FB9" w:rsidP="00901973">
      <w:pPr>
        <w:pStyle w:val="Heading2"/>
      </w:pPr>
    </w:p>
    <w:p w:rsidR="00453FB9" w:rsidRDefault="00453FB9" w:rsidP="00901973">
      <w:pPr>
        <w:pStyle w:val="Heading2"/>
      </w:pPr>
    </w:p>
    <w:p w:rsidR="00453FB9" w:rsidRDefault="00453FB9" w:rsidP="00901973">
      <w:pPr>
        <w:pStyle w:val="Heading2"/>
      </w:pPr>
    </w:p>
    <w:p w:rsidR="00453FB9" w:rsidRDefault="00453FB9" w:rsidP="00901973">
      <w:pPr>
        <w:pStyle w:val="Heading2"/>
      </w:pPr>
    </w:p>
    <w:p w:rsidR="00453FB9" w:rsidRDefault="00453FB9" w:rsidP="00901973">
      <w:pPr>
        <w:pStyle w:val="Heading2"/>
      </w:pPr>
    </w:p>
    <w:p w:rsidR="008319DB" w:rsidRDefault="008319DB" w:rsidP="008319DB"/>
    <w:p w:rsidR="00453FB9" w:rsidRDefault="00453FB9" w:rsidP="008319DB"/>
    <w:p w:rsidR="00453FB9" w:rsidRDefault="00453FB9" w:rsidP="008319DB"/>
    <w:p w:rsidR="00453FB9" w:rsidRDefault="00453FB9" w:rsidP="00453FB9">
      <w:pPr>
        <w:pStyle w:val="Heading2"/>
      </w:pPr>
      <w:r>
        <w:t>G:</w:t>
      </w:r>
      <w:r>
        <w:tab/>
        <w:t>Glossary</w:t>
      </w:r>
    </w:p>
    <w:p w:rsidR="00453FB9" w:rsidRDefault="00397D62" w:rsidP="008319DB">
      <w:r>
        <w:t xml:space="preserve"> </w:t>
      </w:r>
    </w:p>
    <w:p w:rsidR="00453FB9" w:rsidRDefault="00453FB9" w:rsidP="008319DB"/>
    <w:p w:rsidR="008319DB" w:rsidRDefault="008319DB" w:rsidP="008319DB">
      <w:r>
        <w:t>ABS</w:t>
      </w:r>
      <w:r w:rsidR="00C543A0">
        <w:t xml:space="preserve">: </w:t>
      </w:r>
      <w:r w:rsidR="006B3AC5">
        <w:tab/>
      </w:r>
      <w:r w:rsidR="006B3AC5">
        <w:tab/>
      </w:r>
      <w:r w:rsidR="00C543A0">
        <w:t>Australian Bureau of Statistics</w:t>
      </w:r>
    </w:p>
    <w:p w:rsidR="008319DB" w:rsidRDefault="008319DB" w:rsidP="005C66D6">
      <w:pPr>
        <w:ind w:left="1440" w:hanging="1440"/>
      </w:pPr>
      <w:r>
        <w:t>Bibliostat</w:t>
      </w:r>
      <w:r w:rsidR="005C66D6">
        <w:t>:</w:t>
      </w:r>
      <w:r w:rsidR="005C66D6">
        <w:tab/>
        <w:t>The Baker &amp; Taylor statistical gathering &amp; analysis tool used by the SA library network</w:t>
      </w:r>
    </w:p>
    <w:p w:rsidR="008319DB" w:rsidRDefault="008319DB" w:rsidP="008319DB">
      <w:r>
        <w:t>CALD</w:t>
      </w:r>
      <w:r w:rsidR="005C66D6">
        <w:t>:</w:t>
      </w:r>
      <w:r w:rsidR="005C66D6">
        <w:tab/>
      </w:r>
      <w:r w:rsidR="005C66D6">
        <w:tab/>
        <w:t>Culturally and Linguistically Diverse</w:t>
      </w:r>
    </w:p>
    <w:p w:rsidR="008319DB" w:rsidRDefault="008319DB" w:rsidP="008319DB">
      <w:r>
        <w:t>CL</w:t>
      </w:r>
      <w:r w:rsidR="005C66D6">
        <w:t>:</w:t>
      </w:r>
      <w:r w:rsidR="005C66D6">
        <w:tab/>
      </w:r>
      <w:r w:rsidR="005C66D6">
        <w:tab/>
        <w:t>Community Languages</w:t>
      </w:r>
    </w:p>
    <w:p w:rsidR="008319DB" w:rsidRDefault="008319DB" w:rsidP="008319DB">
      <w:r>
        <w:t>Enterprise</w:t>
      </w:r>
      <w:r w:rsidR="005C66D6">
        <w:t>:</w:t>
      </w:r>
      <w:r w:rsidR="005C66D6">
        <w:tab/>
        <w:t>The public interface to the Statewide One Library Management System</w:t>
      </w:r>
    </w:p>
    <w:p w:rsidR="005C66D6" w:rsidRDefault="005C66D6" w:rsidP="008319DB">
      <w:r>
        <w:t>ESL:</w:t>
      </w:r>
      <w:r>
        <w:tab/>
      </w:r>
      <w:r>
        <w:tab/>
        <w:t>English as a Second Language</w:t>
      </w:r>
    </w:p>
    <w:p w:rsidR="008319DB" w:rsidRDefault="008319DB" w:rsidP="00453FB9">
      <w:pPr>
        <w:ind w:left="1440" w:hanging="1440"/>
      </w:pPr>
      <w:r>
        <w:t>IELTS</w:t>
      </w:r>
      <w:r w:rsidR="00453FB9">
        <w:t>:</w:t>
      </w:r>
      <w:r w:rsidR="00453FB9">
        <w:tab/>
      </w:r>
      <w:r w:rsidR="00D947DC">
        <w:t xml:space="preserve">The </w:t>
      </w:r>
      <w:r w:rsidR="005C66D6">
        <w:t>International English Language Testing System</w:t>
      </w:r>
      <w:r w:rsidR="00D947DC">
        <w:t xml:space="preserve"> </w:t>
      </w:r>
      <w:r w:rsidR="006B3AC5">
        <w:t xml:space="preserve">– an online </w:t>
      </w:r>
      <w:r w:rsidR="00453FB9" w:rsidRPr="00453FB9">
        <w:t>resource which allows new arrival students and residents to practice their English skills prior to the compulsory government visa tests.</w:t>
      </w:r>
    </w:p>
    <w:p w:rsidR="008319DB" w:rsidRDefault="008319DB" w:rsidP="005C66D6">
      <w:pPr>
        <w:ind w:left="1440" w:hanging="1440"/>
      </w:pPr>
      <w:r>
        <w:t>LMS</w:t>
      </w:r>
      <w:r w:rsidR="005C66D6">
        <w:t>:</w:t>
      </w:r>
      <w:r w:rsidR="005C66D6">
        <w:tab/>
        <w:t>The South Australian shared Library Management System (sometimes called 1LMS or One Card)</w:t>
      </w:r>
    </w:p>
    <w:p w:rsidR="008319DB" w:rsidRDefault="008319DB" w:rsidP="008319DB">
      <w:r>
        <w:t>LOTE</w:t>
      </w:r>
      <w:r w:rsidR="005C66D6">
        <w:t>:</w:t>
      </w:r>
      <w:r w:rsidR="005C66D6">
        <w:tab/>
      </w:r>
      <w:r w:rsidR="005C66D6">
        <w:tab/>
        <w:t>Languages Other Than English</w:t>
      </w:r>
    </w:p>
    <w:p w:rsidR="000809E7" w:rsidRDefault="000809E7" w:rsidP="008319DB">
      <w:r>
        <w:t>NESB:</w:t>
      </w:r>
      <w:r>
        <w:tab/>
      </w:r>
      <w:r>
        <w:tab/>
        <w:t>Non English Speaking Background</w:t>
      </w:r>
    </w:p>
    <w:p w:rsidR="00397D62" w:rsidRDefault="00E15A95" w:rsidP="00E15A95">
      <w:pPr>
        <w:ind w:left="1440" w:hanging="1440"/>
      </w:pPr>
      <w:r>
        <w:t>PLS:</w:t>
      </w:r>
      <w:r>
        <w:tab/>
      </w:r>
      <w:r w:rsidR="00397D62">
        <w:t>Public Library Services</w:t>
      </w:r>
      <w:r w:rsidR="000809E7">
        <w:t xml:space="preserve"> - </w:t>
      </w:r>
      <w:r>
        <w:t>A business</w:t>
      </w:r>
      <w:r w:rsidR="000809E7">
        <w:t xml:space="preserve"> </w:t>
      </w:r>
      <w:r>
        <w:t>unit of the State Library of South Australia</w:t>
      </w:r>
      <w:r w:rsidR="000809E7">
        <w:t xml:space="preserve">, </w:t>
      </w:r>
      <w:r>
        <w:t xml:space="preserve">which is funded from the </w:t>
      </w:r>
      <w:proofErr w:type="gramStart"/>
      <w:r>
        <w:t>State's funding</w:t>
      </w:r>
      <w:proofErr w:type="gramEnd"/>
      <w:r>
        <w:t xml:space="preserve"> to public libraries.  </w:t>
      </w:r>
      <w:r w:rsidR="000809E7">
        <w:t>PLS</w:t>
      </w:r>
      <w:r w:rsidRPr="00244D8B">
        <w:t xml:space="preserve"> provides administrative support</w:t>
      </w:r>
      <w:r w:rsidR="000809E7">
        <w:t xml:space="preserve"> to the state’s public library network.</w:t>
      </w:r>
    </w:p>
    <w:p w:rsidR="008319DB" w:rsidRPr="008319DB" w:rsidRDefault="008319DB" w:rsidP="008319DB">
      <w:r>
        <w:t>PLSA</w:t>
      </w:r>
      <w:r w:rsidR="00397D62">
        <w:t>:</w:t>
      </w:r>
      <w:r w:rsidR="00397D62">
        <w:tab/>
      </w:r>
      <w:r w:rsidR="00397D62">
        <w:tab/>
        <w:t>Public Libraries South Australia. The peak library body in South Australia</w:t>
      </w:r>
    </w:p>
    <w:p w:rsidR="006D3450" w:rsidRDefault="006D3450" w:rsidP="0094369F">
      <w:pPr>
        <w:pStyle w:val="Heading2"/>
      </w:pPr>
    </w:p>
    <w:sectPr w:rsidR="006D3450" w:rsidSect="006C2B1F">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F9F" w:rsidRDefault="00E32F9F" w:rsidP="005A77AE">
      <w:pPr>
        <w:spacing w:before="0" w:after="0" w:line="240" w:lineRule="auto"/>
      </w:pPr>
      <w:r>
        <w:separator/>
      </w:r>
    </w:p>
  </w:endnote>
  <w:endnote w:type="continuationSeparator" w:id="0">
    <w:p w:rsidR="00E32F9F" w:rsidRDefault="00E32F9F" w:rsidP="005A77A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69010"/>
      <w:docPartObj>
        <w:docPartGallery w:val="Page Numbers (Bottom of Page)"/>
        <w:docPartUnique/>
      </w:docPartObj>
    </w:sdtPr>
    <w:sdtEndPr>
      <w:rPr>
        <w:noProof/>
      </w:rPr>
    </w:sdtEndPr>
    <w:sdtContent>
      <w:p w:rsidR="00BF65C9" w:rsidRDefault="00BF65C9">
        <w:pPr>
          <w:pStyle w:val="Footer"/>
          <w:jc w:val="right"/>
        </w:pPr>
        <w:r>
          <w:fldChar w:fldCharType="begin"/>
        </w:r>
        <w:r>
          <w:instrText xml:space="preserve"> PAGE   \* MERGEFORMAT </w:instrText>
        </w:r>
        <w:r>
          <w:fldChar w:fldCharType="separate"/>
        </w:r>
        <w:r w:rsidR="00420739">
          <w:rPr>
            <w:noProof/>
          </w:rPr>
          <w:t>9</w:t>
        </w:r>
        <w:r>
          <w:rPr>
            <w:noProof/>
          </w:rPr>
          <w:fldChar w:fldCharType="end"/>
        </w:r>
      </w:p>
    </w:sdtContent>
  </w:sdt>
  <w:p w:rsidR="00BF65C9" w:rsidRPr="00EE1E33" w:rsidRDefault="00BF65C9" w:rsidP="00EE1E33">
    <w:pPr>
      <w:pStyle w:val="Footer"/>
      <w:tabs>
        <w:tab w:val="clear" w:pos="4153"/>
        <w:tab w:val="clear" w:pos="8306"/>
        <w:tab w:val="right" w:pos="8931"/>
      </w:tabs>
      <w:rPr>
        <w:rFonts w:ascii="Californian FB" w:hAnsi="Californian FB"/>
        <w:color w:val="71859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C9" w:rsidRPr="00EE1E33" w:rsidRDefault="00BF65C9" w:rsidP="006C2B1F">
    <w:pPr>
      <w:pStyle w:val="Footer"/>
      <w:tabs>
        <w:tab w:val="clear" w:pos="4153"/>
        <w:tab w:val="clear" w:pos="8306"/>
        <w:tab w:val="right" w:pos="13892"/>
      </w:tabs>
      <w:rPr>
        <w:rFonts w:ascii="Californian FB" w:hAnsi="Californian FB"/>
        <w:color w:val="718597"/>
      </w:rPr>
    </w:pPr>
    <w:r w:rsidRPr="00EE1E33">
      <w:rPr>
        <w:rFonts w:ascii="Californian FB" w:hAnsi="Californian FB"/>
        <w:color w:val="718597"/>
      </w:rPr>
      <w:t>KPPM Strategy</w:t>
    </w:r>
    <w:r w:rsidRPr="00EE1E33">
      <w:rPr>
        <w:rFonts w:ascii="Californian FB" w:hAnsi="Californian FB"/>
        <w:color w:val="718597"/>
      </w:rPr>
      <w:tab/>
    </w:r>
    <w:r w:rsidRPr="00EE1E33">
      <w:rPr>
        <w:rFonts w:ascii="Californian FB" w:hAnsi="Californian FB"/>
        <w:color w:val="718597"/>
        <w:spacing w:val="60"/>
      </w:rPr>
      <w:t>Page</w:t>
    </w:r>
    <w:r w:rsidRPr="00EE1E33">
      <w:rPr>
        <w:rFonts w:ascii="Californian FB" w:hAnsi="Californian FB"/>
        <w:color w:val="718597"/>
      </w:rPr>
      <w:t xml:space="preserve"> | </w:t>
    </w:r>
    <w:r w:rsidRPr="00EE1E33">
      <w:rPr>
        <w:rFonts w:ascii="Californian FB" w:hAnsi="Californian FB"/>
        <w:color w:val="718597"/>
      </w:rPr>
      <w:fldChar w:fldCharType="begin"/>
    </w:r>
    <w:r w:rsidRPr="00EE1E33">
      <w:rPr>
        <w:rFonts w:ascii="Californian FB" w:hAnsi="Californian FB"/>
        <w:color w:val="718597"/>
      </w:rPr>
      <w:instrText xml:space="preserve"> PAGE   \* MERGEFORMAT </w:instrText>
    </w:r>
    <w:r w:rsidRPr="00EE1E33">
      <w:rPr>
        <w:rFonts w:ascii="Californian FB" w:hAnsi="Californian FB"/>
        <w:color w:val="718597"/>
      </w:rPr>
      <w:fldChar w:fldCharType="separate"/>
    </w:r>
    <w:r w:rsidR="00420739" w:rsidRPr="00420739">
      <w:rPr>
        <w:rFonts w:ascii="Californian FB" w:hAnsi="Californian FB"/>
        <w:b/>
        <w:noProof/>
        <w:color w:val="718597"/>
      </w:rPr>
      <w:t>10</w:t>
    </w:r>
    <w:r w:rsidRPr="00EE1E33">
      <w:rPr>
        <w:rFonts w:ascii="Californian FB" w:hAnsi="Californian FB"/>
        <w:color w:val="71859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C9" w:rsidRPr="00EE1E33" w:rsidRDefault="00BF65C9" w:rsidP="00EE1E33">
    <w:pPr>
      <w:pStyle w:val="Footer"/>
      <w:tabs>
        <w:tab w:val="clear" w:pos="4153"/>
        <w:tab w:val="clear" w:pos="8306"/>
        <w:tab w:val="right" w:pos="8931"/>
      </w:tabs>
      <w:rPr>
        <w:rFonts w:ascii="Californian FB" w:hAnsi="Californian FB"/>
        <w:color w:val="718597"/>
      </w:rPr>
    </w:pPr>
    <w:r w:rsidRPr="00EE1E33">
      <w:rPr>
        <w:rFonts w:ascii="Californian FB" w:hAnsi="Californian FB"/>
        <w:color w:val="718597"/>
      </w:rPr>
      <w:t>KPPM Strategy</w:t>
    </w:r>
    <w:r w:rsidRPr="00EE1E33">
      <w:rPr>
        <w:rFonts w:ascii="Californian FB" w:hAnsi="Californian FB"/>
        <w:color w:val="718597"/>
      </w:rPr>
      <w:tab/>
    </w:r>
    <w:r w:rsidRPr="00EE1E33">
      <w:rPr>
        <w:rFonts w:ascii="Californian FB" w:hAnsi="Californian FB"/>
        <w:color w:val="718597"/>
        <w:spacing w:val="60"/>
      </w:rPr>
      <w:t>Page</w:t>
    </w:r>
    <w:r w:rsidRPr="00EE1E33">
      <w:rPr>
        <w:rFonts w:ascii="Californian FB" w:hAnsi="Californian FB"/>
        <w:color w:val="718597"/>
      </w:rPr>
      <w:t xml:space="preserve"> | </w:t>
    </w:r>
    <w:r w:rsidRPr="00EE1E33">
      <w:rPr>
        <w:rFonts w:ascii="Californian FB" w:hAnsi="Californian FB"/>
        <w:color w:val="718597"/>
      </w:rPr>
      <w:fldChar w:fldCharType="begin"/>
    </w:r>
    <w:r w:rsidRPr="00EE1E33">
      <w:rPr>
        <w:rFonts w:ascii="Californian FB" w:hAnsi="Californian FB"/>
        <w:color w:val="718597"/>
      </w:rPr>
      <w:instrText xml:space="preserve"> PAGE   \* MERGEFORMAT </w:instrText>
    </w:r>
    <w:r w:rsidRPr="00EE1E33">
      <w:rPr>
        <w:rFonts w:ascii="Californian FB" w:hAnsi="Californian FB"/>
        <w:color w:val="718597"/>
      </w:rPr>
      <w:fldChar w:fldCharType="separate"/>
    </w:r>
    <w:r w:rsidR="00420739" w:rsidRPr="00420739">
      <w:rPr>
        <w:rFonts w:ascii="Californian FB" w:hAnsi="Californian FB"/>
        <w:b/>
        <w:noProof/>
        <w:color w:val="718597"/>
      </w:rPr>
      <w:t>12</w:t>
    </w:r>
    <w:r w:rsidRPr="00EE1E33">
      <w:rPr>
        <w:rFonts w:ascii="Californian FB" w:hAnsi="Californian FB"/>
        <w:color w:val="71859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F9F" w:rsidRDefault="00E32F9F" w:rsidP="005A77AE">
      <w:pPr>
        <w:spacing w:before="0" w:after="0" w:line="240" w:lineRule="auto"/>
      </w:pPr>
      <w:r>
        <w:separator/>
      </w:r>
    </w:p>
  </w:footnote>
  <w:footnote w:type="continuationSeparator" w:id="0">
    <w:p w:rsidR="00E32F9F" w:rsidRDefault="00E32F9F" w:rsidP="005A77AE">
      <w:pPr>
        <w:spacing w:before="0" w:after="0" w:line="240" w:lineRule="auto"/>
      </w:pPr>
      <w:r>
        <w:continuationSeparator/>
      </w:r>
    </w:p>
  </w:footnote>
  <w:footnote w:id="1">
    <w:p w:rsidR="00BF65C9" w:rsidRDefault="00BF65C9" w:rsidP="00DB3809">
      <w:pPr>
        <w:pStyle w:val="FootnoteText"/>
        <w:ind w:left="360"/>
        <w:rPr>
          <w:rStyle w:val="Hyperlink"/>
        </w:rPr>
      </w:pPr>
      <w:r>
        <w:rPr>
          <w:rStyle w:val="FootnoteReference"/>
        </w:rPr>
        <w:footnoteRef/>
      </w:r>
      <w:r>
        <w:t xml:space="preserve"> </w:t>
      </w:r>
      <w:hyperlink r:id="rId1" w:history="1">
        <w:r w:rsidRPr="00852FAB">
          <w:rPr>
            <w:rStyle w:val="Hyperlink"/>
          </w:rPr>
          <w:t>http://saplan.org.au</w:t>
        </w:r>
      </w:hyperlink>
    </w:p>
    <w:p w:rsidR="00BF65C9" w:rsidRPr="00DB3809" w:rsidRDefault="00BF65C9">
      <w:pPr>
        <w:pStyle w:val="FootnoteText"/>
        <w:rPr>
          <w:lang w:val="en-US"/>
        </w:rPr>
      </w:pPr>
    </w:p>
  </w:footnote>
  <w:footnote w:id="2">
    <w:p w:rsidR="00BF65C9" w:rsidRPr="00DB3809" w:rsidRDefault="00BF65C9" w:rsidP="00A2389B">
      <w:pPr>
        <w:pStyle w:val="FootnoteText"/>
        <w:ind w:firstLine="360"/>
      </w:pPr>
      <w:r>
        <w:rPr>
          <w:rStyle w:val="FootnoteReference"/>
        </w:rPr>
        <w:footnoteRef/>
      </w:r>
      <w:r>
        <w:t xml:space="preserve"> </w:t>
      </w:r>
      <w:hyperlink r:id="rId2" w:history="1">
        <w:r w:rsidRPr="00DB3809">
          <w:rPr>
            <w:rStyle w:val="Hyperlink"/>
          </w:rPr>
          <w:t>http://www.multicultural.sa.gov.au/about-us/what-is-multiculturalism</w:t>
        </w:r>
      </w:hyperlink>
    </w:p>
    <w:p w:rsidR="00BF65C9" w:rsidRPr="00DB3809" w:rsidRDefault="00BF65C9" w:rsidP="00A2389B">
      <w:pPr>
        <w:pStyle w:val="FootnoteText"/>
        <w:ind w:firstLine="360"/>
        <w:rPr>
          <w:lang w:val="en-US"/>
        </w:rPr>
      </w:pPr>
    </w:p>
  </w:footnote>
  <w:footnote w:id="3">
    <w:p w:rsidR="00BF65C9" w:rsidRPr="00A2389B" w:rsidRDefault="00BF65C9">
      <w:pPr>
        <w:pStyle w:val="FootnoteText"/>
        <w:rPr>
          <w:lang w:val="en-US"/>
        </w:rPr>
      </w:pPr>
      <w:r>
        <w:rPr>
          <w:rStyle w:val="FootnoteReference"/>
        </w:rPr>
        <w:footnoteRef/>
      </w:r>
      <w:r>
        <w:t xml:space="preserve"> </w:t>
      </w:r>
      <w:r w:rsidRPr="00A2389B">
        <w:t>The ‘language spoken at home’ question on the 2011 Census form is designed to find out which languages other than English are spoken by people at home. This question only allows for one answer and therefore the number of response shown in the category ‘1201 English’ is not all persons who speak English, but specifically persons who speak only English at home. Persons who report a language other than English to the ‘language spoken at home’ question are then asked in the following question ’How well does the person speak English?’ Responses to this question are coded to the variable Proficiency in Spoken English (ABS 2011). The Community Languages levy was based on earlier ABS data – the most recent Census identified that 14% of South Australians speak a language other than English at home.</w:t>
      </w:r>
    </w:p>
  </w:footnote>
  <w:footnote w:id="4">
    <w:p w:rsidR="00BF65C9" w:rsidRDefault="00BF65C9" w:rsidP="00A2389B">
      <w:pPr>
        <w:rPr>
          <w:sz w:val="20"/>
          <w:szCs w:val="20"/>
        </w:rPr>
      </w:pPr>
      <w:r>
        <w:rPr>
          <w:rStyle w:val="FootnoteReference"/>
        </w:rPr>
        <w:footnoteRef/>
      </w:r>
      <w:r>
        <w:t xml:space="preserve"> </w:t>
      </w:r>
      <w:r w:rsidRPr="006C7C9F">
        <w:rPr>
          <w:sz w:val="20"/>
          <w:szCs w:val="20"/>
        </w:rPr>
        <w:t>The Crown Solicitors Advice as at 6</w:t>
      </w:r>
      <w:r w:rsidRPr="006C7C9F">
        <w:rPr>
          <w:sz w:val="20"/>
          <w:szCs w:val="20"/>
          <w:vertAlign w:val="superscript"/>
        </w:rPr>
        <w:t>th</w:t>
      </w:r>
      <w:r w:rsidRPr="006C7C9F">
        <w:rPr>
          <w:sz w:val="20"/>
          <w:szCs w:val="20"/>
        </w:rPr>
        <w:t xml:space="preserve"> September 2013 was:</w:t>
      </w:r>
    </w:p>
    <w:p w:rsidR="00BF65C9" w:rsidRPr="006C7C9F" w:rsidRDefault="00BF65C9" w:rsidP="00A2389B">
      <w:pPr>
        <w:rPr>
          <w:sz w:val="20"/>
          <w:szCs w:val="20"/>
        </w:rPr>
      </w:pPr>
      <w:r w:rsidRPr="006C7C9F">
        <w:rPr>
          <w:sz w:val="20"/>
          <w:szCs w:val="20"/>
        </w:rPr>
        <w:t xml:space="preserve">With respect to the advice provided by this office in 2007 regarding the legal status of foreign language DVDs, … and the relevant sections of the </w:t>
      </w:r>
      <w:r w:rsidRPr="006C7C9F">
        <w:rPr>
          <w:i/>
          <w:iCs/>
          <w:sz w:val="20"/>
          <w:szCs w:val="20"/>
        </w:rPr>
        <w:t>Classification (Publications, Films and Computer Games) Act 1995</w:t>
      </w:r>
      <w:r w:rsidRPr="006C7C9F">
        <w:rPr>
          <w:sz w:val="20"/>
          <w:szCs w:val="20"/>
        </w:rPr>
        <w:t xml:space="preserve"> (SA) and </w:t>
      </w:r>
      <w:r w:rsidRPr="006C7C9F">
        <w:rPr>
          <w:i/>
          <w:iCs/>
          <w:sz w:val="20"/>
          <w:szCs w:val="20"/>
        </w:rPr>
        <w:t xml:space="preserve">Summary Offences Act 1953 </w:t>
      </w:r>
      <w:r w:rsidRPr="006C7C9F">
        <w:rPr>
          <w:sz w:val="20"/>
          <w:szCs w:val="20"/>
        </w:rPr>
        <w:t xml:space="preserve">(SA). There have been no changes to these Acts with respect to the issue of selling unclassified videos or DVDs since that advice was provided. </w:t>
      </w:r>
    </w:p>
    <w:p w:rsidR="00BF65C9" w:rsidRPr="006C7C9F" w:rsidRDefault="00BF65C9" w:rsidP="00A2389B">
      <w:pPr>
        <w:rPr>
          <w:color w:val="1F497D"/>
          <w:sz w:val="20"/>
          <w:szCs w:val="20"/>
        </w:rPr>
      </w:pPr>
      <w:r w:rsidRPr="006C7C9F">
        <w:rPr>
          <w:sz w:val="20"/>
          <w:szCs w:val="20"/>
        </w:rPr>
        <w:t xml:space="preserve">Accordingly, any supplier of foreign language DVDs must comply with the </w:t>
      </w:r>
      <w:r w:rsidRPr="006C7C9F">
        <w:rPr>
          <w:i/>
          <w:iCs/>
          <w:sz w:val="20"/>
          <w:szCs w:val="20"/>
        </w:rPr>
        <w:t>Classification (Publications, Films and Computer Games) Act 1995</w:t>
      </w:r>
      <w:r w:rsidRPr="006C7C9F">
        <w:rPr>
          <w:sz w:val="20"/>
          <w:szCs w:val="20"/>
        </w:rPr>
        <w:t xml:space="preserve"> (SA) and </w:t>
      </w:r>
      <w:r w:rsidRPr="006C7C9F">
        <w:rPr>
          <w:i/>
          <w:iCs/>
          <w:sz w:val="20"/>
          <w:szCs w:val="20"/>
        </w:rPr>
        <w:t xml:space="preserve">Summary Offences Act 1953 </w:t>
      </w:r>
      <w:r w:rsidRPr="006C7C9F">
        <w:rPr>
          <w:sz w:val="20"/>
          <w:szCs w:val="20"/>
        </w:rPr>
        <w:t>(SA) and cannot sell a film to the Libraries Board of SA if that film is not classified.</w:t>
      </w:r>
      <w:r w:rsidRPr="006C7C9F">
        <w:rPr>
          <w:color w:val="1F497D"/>
          <w:sz w:val="20"/>
          <w:szCs w:val="20"/>
        </w:rPr>
        <w:t xml:space="preserve"> </w:t>
      </w:r>
    </w:p>
    <w:p w:rsidR="00BF65C9" w:rsidRDefault="00BF65C9">
      <w:pPr>
        <w:pStyle w:val="FootnoteText"/>
      </w:pPr>
    </w:p>
  </w:footnote>
  <w:footnote w:id="5">
    <w:p w:rsidR="00BF65C9" w:rsidRDefault="00BF65C9">
      <w:pPr>
        <w:pStyle w:val="FootnoteText"/>
      </w:pPr>
      <w:r>
        <w:rPr>
          <w:rStyle w:val="FootnoteReference"/>
        </w:rPr>
        <w:footnoteRef/>
      </w:r>
      <w:r>
        <w:t xml:space="preserve"> *Community Language Other refers to a </w:t>
      </w:r>
      <w:r w:rsidR="00BE7AA6">
        <w:t>secondary</w:t>
      </w:r>
      <w:r>
        <w:t xml:space="preserve"> levy based on the proportion of multicultural population in each individual council (according to ABS census data)</w:t>
      </w:r>
      <w:r w:rsidR="00BE7AA6">
        <w:t>. The two parts of the levy are combined to determine the overall contribution of each library to the Community Language levy.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C9" w:rsidRDefault="00BF65C9" w:rsidP="0049057A">
    <w:pPr>
      <w:pStyle w:val="Header"/>
      <w:spacing w:after="0"/>
      <w:rPr>
        <w:color w:val="1D1B11" w:themeColor="background2" w:themeShade="1A"/>
        <w:sz w:val="32"/>
      </w:rPr>
    </w:pPr>
    <w:r w:rsidRPr="00C14FB8">
      <w:rPr>
        <w:color w:val="1D1B11" w:themeColor="background2" w:themeShade="1A"/>
        <w:sz w:val="32"/>
      </w:rPr>
      <w:t xml:space="preserve">Community Languages Strategy </w:t>
    </w:r>
  </w:p>
  <w:p w:rsidR="00BF65C9" w:rsidRPr="00C14FB8" w:rsidRDefault="00BF65C9" w:rsidP="0049057A">
    <w:pPr>
      <w:pStyle w:val="Header"/>
      <w:shd w:val="clear" w:color="auto" w:fill="EEECE1" w:themeFill="background2"/>
      <w:spacing w:before="0" w:after="0" w:line="80" w:lineRule="exact"/>
      <w:rPr>
        <w:color w:val="1D1B11" w:themeColor="background2" w:themeShade="1A"/>
        <w:sz w:val="32"/>
      </w:rPr>
    </w:pPr>
  </w:p>
  <w:p w:rsidR="00BF65C9" w:rsidRDefault="00BF6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5C9" w:rsidRDefault="00BF6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2ECC"/>
    <w:multiLevelType w:val="hybridMultilevel"/>
    <w:tmpl w:val="0F489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C76037"/>
    <w:multiLevelType w:val="hybridMultilevel"/>
    <w:tmpl w:val="B398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09318C"/>
    <w:multiLevelType w:val="hybridMultilevel"/>
    <w:tmpl w:val="FEC8E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2F1B08"/>
    <w:multiLevelType w:val="hybridMultilevel"/>
    <w:tmpl w:val="81B6A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164A44"/>
    <w:multiLevelType w:val="hybridMultilevel"/>
    <w:tmpl w:val="C08EAD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2820D13"/>
    <w:multiLevelType w:val="hybridMultilevel"/>
    <w:tmpl w:val="954CF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AE16A3"/>
    <w:multiLevelType w:val="hybridMultilevel"/>
    <w:tmpl w:val="42F89B70"/>
    <w:lvl w:ilvl="0" w:tplc="239A1D54">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CA3D0D"/>
    <w:multiLevelType w:val="hybridMultilevel"/>
    <w:tmpl w:val="CDDC0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EE3741A"/>
    <w:multiLevelType w:val="hybridMultilevel"/>
    <w:tmpl w:val="C4627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C35219"/>
    <w:multiLevelType w:val="hybridMultilevel"/>
    <w:tmpl w:val="8A94B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2257E1"/>
    <w:multiLevelType w:val="hybridMultilevel"/>
    <w:tmpl w:val="5CE67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295994"/>
    <w:multiLevelType w:val="hybridMultilevel"/>
    <w:tmpl w:val="A9E08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7A7DAD"/>
    <w:multiLevelType w:val="hybridMultilevel"/>
    <w:tmpl w:val="62224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B71761"/>
    <w:multiLevelType w:val="hybridMultilevel"/>
    <w:tmpl w:val="1576D8B2"/>
    <w:lvl w:ilvl="0" w:tplc="239A1D54">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7743AE"/>
    <w:multiLevelType w:val="hybridMultilevel"/>
    <w:tmpl w:val="448AF3E2"/>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5">
    <w:nsid w:val="49CE399E"/>
    <w:multiLevelType w:val="hybridMultilevel"/>
    <w:tmpl w:val="40740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EA656F"/>
    <w:multiLevelType w:val="hybridMultilevel"/>
    <w:tmpl w:val="5CEC4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1783A16"/>
    <w:multiLevelType w:val="hybridMultilevel"/>
    <w:tmpl w:val="4D2293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45F094C"/>
    <w:multiLevelType w:val="multilevel"/>
    <w:tmpl w:val="9D34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310BD"/>
    <w:multiLevelType w:val="hybridMultilevel"/>
    <w:tmpl w:val="AA6C6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8DD7020"/>
    <w:multiLevelType w:val="hybridMultilevel"/>
    <w:tmpl w:val="B4584128"/>
    <w:lvl w:ilvl="0" w:tplc="239A1D54">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9321759"/>
    <w:multiLevelType w:val="hybridMultilevel"/>
    <w:tmpl w:val="EDC68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3F178D"/>
    <w:multiLevelType w:val="hybridMultilevel"/>
    <w:tmpl w:val="9D7AFBE4"/>
    <w:lvl w:ilvl="0" w:tplc="239A1D54">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B1431E"/>
    <w:multiLevelType w:val="hybridMultilevel"/>
    <w:tmpl w:val="94422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58A7D3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69329D7"/>
    <w:multiLevelType w:val="hybridMultilevel"/>
    <w:tmpl w:val="C2689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EF266A4"/>
    <w:multiLevelType w:val="hybridMultilevel"/>
    <w:tmpl w:val="EAFEB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0"/>
  </w:num>
  <w:num w:numId="3">
    <w:abstractNumId w:val="22"/>
  </w:num>
  <w:num w:numId="4">
    <w:abstractNumId w:val="20"/>
  </w:num>
  <w:num w:numId="5">
    <w:abstractNumId w:val="13"/>
  </w:num>
  <w:num w:numId="6">
    <w:abstractNumId w:val="6"/>
  </w:num>
  <w:num w:numId="7">
    <w:abstractNumId w:val="18"/>
  </w:num>
  <w:num w:numId="8">
    <w:abstractNumId w:val="26"/>
  </w:num>
  <w:num w:numId="9">
    <w:abstractNumId w:val="23"/>
  </w:num>
  <w:num w:numId="10">
    <w:abstractNumId w:val="9"/>
  </w:num>
  <w:num w:numId="11">
    <w:abstractNumId w:val="10"/>
  </w:num>
  <w:num w:numId="12">
    <w:abstractNumId w:val="12"/>
  </w:num>
  <w:num w:numId="13">
    <w:abstractNumId w:val="4"/>
  </w:num>
  <w:num w:numId="14">
    <w:abstractNumId w:val="1"/>
  </w:num>
  <w:num w:numId="15">
    <w:abstractNumId w:val="15"/>
  </w:num>
  <w:num w:numId="16">
    <w:abstractNumId w:val="2"/>
  </w:num>
  <w:num w:numId="17">
    <w:abstractNumId w:val="14"/>
  </w:num>
  <w:num w:numId="18">
    <w:abstractNumId w:val="5"/>
  </w:num>
  <w:num w:numId="19">
    <w:abstractNumId w:val="21"/>
  </w:num>
  <w:num w:numId="20">
    <w:abstractNumId w:val="8"/>
  </w:num>
  <w:num w:numId="21">
    <w:abstractNumId w:val="24"/>
  </w:num>
  <w:num w:numId="22">
    <w:abstractNumId w:val="11"/>
  </w:num>
  <w:num w:numId="23">
    <w:abstractNumId w:val="16"/>
  </w:num>
  <w:num w:numId="24">
    <w:abstractNumId w:val="3"/>
  </w:num>
  <w:num w:numId="25">
    <w:abstractNumId w:val="7"/>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2B"/>
    <w:rsid w:val="00002554"/>
    <w:rsid w:val="00015C8E"/>
    <w:rsid w:val="0002132B"/>
    <w:rsid w:val="00021CBB"/>
    <w:rsid w:val="00034204"/>
    <w:rsid w:val="000422E5"/>
    <w:rsid w:val="00044B67"/>
    <w:rsid w:val="000518DE"/>
    <w:rsid w:val="00054A45"/>
    <w:rsid w:val="0006099B"/>
    <w:rsid w:val="00062B69"/>
    <w:rsid w:val="000809E7"/>
    <w:rsid w:val="00083E62"/>
    <w:rsid w:val="00087274"/>
    <w:rsid w:val="000A4B10"/>
    <w:rsid w:val="000A5D4D"/>
    <w:rsid w:val="000A6DB6"/>
    <w:rsid w:val="000B3618"/>
    <w:rsid w:val="000B63CF"/>
    <w:rsid w:val="000C19E5"/>
    <w:rsid w:val="000C712A"/>
    <w:rsid w:val="000C7A3F"/>
    <w:rsid w:val="000C7A61"/>
    <w:rsid w:val="000D62F0"/>
    <w:rsid w:val="000E1A9A"/>
    <w:rsid w:val="000E3853"/>
    <w:rsid w:val="000F6D55"/>
    <w:rsid w:val="00102F09"/>
    <w:rsid w:val="00111488"/>
    <w:rsid w:val="00112C02"/>
    <w:rsid w:val="00114035"/>
    <w:rsid w:val="001152D6"/>
    <w:rsid w:val="00120BF9"/>
    <w:rsid w:val="00124D27"/>
    <w:rsid w:val="00127D7E"/>
    <w:rsid w:val="00133582"/>
    <w:rsid w:val="001462E1"/>
    <w:rsid w:val="00147454"/>
    <w:rsid w:val="00156D24"/>
    <w:rsid w:val="00160C1F"/>
    <w:rsid w:val="00163779"/>
    <w:rsid w:val="00174773"/>
    <w:rsid w:val="0017583A"/>
    <w:rsid w:val="00175C6D"/>
    <w:rsid w:val="00176BDF"/>
    <w:rsid w:val="001826F4"/>
    <w:rsid w:val="00187857"/>
    <w:rsid w:val="00191DD1"/>
    <w:rsid w:val="0019202B"/>
    <w:rsid w:val="00194618"/>
    <w:rsid w:val="001A00AA"/>
    <w:rsid w:val="001A5E02"/>
    <w:rsid w:val="001A6557"/>
    <w:rsid w:val="001B08B2"/>
    <w:rsid w:val="001B1F50"/>
    <w:rsid w:val="001B39C2"/>
    <w:rsid w:val="001C5E2B"/>
    <w:rsid w:val="001D609D"/>
    <w:rsid w:val="001D6BF6"/>
    <w:rsid w:val="001E0A07"/>
    <w:rsid w:val="001E3A6B"/>
    <w:rsid w:val="001F0978"/>
    <w:rsid w:val="001F4982"/>
    <w:rsid w:val="002020D6"/>
    <w:rsid w:val="00202972"/>
    <w:rsid w:val="0020480B"/>
    <w:rsid w:val="00206DA6"/>
    <w:rsid w:val="00215B00"/>
    <w:rsid w:val="002264B0"/>
    <w:rsid w:val="002362C4"/>
    <w:rsid w:val="002424D8"/>
    <w:rsid w:val="00242FBF"/>
    <w:rsid w:val="002436D0"/>
    <w:rsid w:val="00246FF1"/>
    <w:rsid w:val="00255C7D"/>
    <w:rsid w:val="00256EFC"/>
    <w:rsid w:val="00260B32"/>
    <w:rsid w:val="00277BDC"/>
    <w:rsid w:val="00277EB5"/>
    <w:rsid w:val="002874E4"/>
    <w:rsid w:val="00290358"/>
    <w:rsid w:val="002925F3"/>
    <w:rsid w:val="00293A68"/>
    <w:rsid w:val="002A4035"/>
    <w:rsid w:val="002A6DA4"/>
    <w:rsid w:val="002C3D2A"/>
    <w:rsid w:val="002C6353"/>
    <w:rsid w:val="002C7195"/>
    <w:rsid w:val="002D130C"/>
    <w:rsid w:val="002E0C1F"/>
    <w:rsid w:val="002E0DC5"/>
    <w:rsid w:val="002E47B8"/>
    <w:rsid w:val="002E7C8F"/>
    <w:rsid w:val="002E7F14"/>
    <w:rsid w:val="002F02B0"/>
    <w:rsid w:val="002F7447"/>
    <w:rsid w:val="003177F1"/>
    <w:rsid w:val="00326FC1"/>
    <w:rsid w:val="003278E0"/>
    <w:rsid w:val="00335130"/>
    <w:rsid w:val="003370E9"/>
    <w:rsid w:val="0033742D"/>
    <w:rsid w:val="00337BB1"/>
    <w:rsid w:val="003505BF"/>
    <w:rsid w:val="00353F63"/>
    <w:rsid w:val="0035582E"/>
    <w:rsid w:val="003624AA"/>
    <w:rsid w:val="00362B19"/>
    <w:rsid w:val="003727BD"/>
    <w:rsid w:val="00372E0A"/>
    <w:rsid w:val="00377074"/>
    <w:rsid w:val="00380694"/>
    <w:rsid w:val="00383F55"/>
    <w:rsid w:val="00386E5D"/>
    <w:rsid w:val="003878B9"/>
    <w:rsid w:val="00390EF5"/>
    <w:rsid w:val="003960C7"/>
    <w:rsid w:val="00396C83"/>
    <w:rsid w:val="00397612"/>
    <w:rsid w:val="00397D62"/>
    <w:rsid w:val="003A59F3"/>
    <w:rsid w:val="003A69AF"/>
    <w:rsid w:val="003B1BDA"/>
    <w:rsid w:val="003C0088"/>
    <w:rsid w:val="003D4770"/>
    <w:rsid w:val="003E3BF0"/>
    <w:rsid w:val="003E5411"/>
    <w:rsid w:val="003E59F8"/>
    <w:rsid w:val="003E7169"/>
    <w:rsid w:val="003E7CBB"/>
    <w:rsid w:val="003E7D83"/>
    <w:rsid w:val="003F12AC"/>
    <w:rsid w:val="003F2F42"/>
    <w:rsid w:val="0040240E"/>
    <w:rsid w:val="00406600"/>
    <w:rsid w:val="00410DCC"/>
    <w:rsid w:val="00420739"/>
    <w:rsid w:val="00421CAA"/>
    <w:rsid w:val="00424925"/>
    <w:rsid w:val="004342B4"/>
    <w:rsid w:val="00434600"/>
    <w:rsid w:val="004510AB"/>
    <w:rsid w:val="004538AD"/>
    <w:rsid w:val="00453FB9"/>
    <w:rsid w:val="004661CC"/>
    <w:rsid w:val="004672DB"/>
    <w:rsid w:val="00473C17"/>
    <w:rsid w:val="00481192"/>
    <w:rsid w:val="0049057A"/>
    <w:rsid w:val="00492AAB"/>
    <w:rsid w:val="004948D7"/>
    <w:rsid w:val="004A2CC6"/>
    <w:rsid w:val="004C2D44"/>
    <w:rsid w:val="004D4BEA"/>
    <w:rsid w:val="004D4D6A"/>
    <w:rsid w:val="004D650F"/>
    <w:rsid w:val="004E4ECC"/>
    <w:rsid w:val="004F5FCC"/>
    <w:rsid w:val="00507EF3"/>
    <w:rsid w:val="00513592"/>
    <w:rsid w:val="005231D2"/>
    <w:rsid w:val="00533846"/>
    <w:rsid w:val="00537B0D"/>
    <w:rsid w:val="00541AC8"/>
    <w:rsid w:val="0055085C"/>
    <w:rsid w:val="005667D5"/>
    <w:rsid w:val="00567282"/>
    <w:rsid w:val="0057409D"/>
    <w:rsid w:val="00577EA9"/>
    <w:rsid w:val="0058101F"/>
    <w:rsid w:val="00582457"/>
    <w:rsid w:val="00596454"/>
    <w:rsid w:val="005A4F03"/>
    <w:rsid w:val="005A56B1"/>
    <w:rsid w:val="005A77AE"/>
    <w:rsid w:val="005B10EE"/>
    <w:rsid w:val="005B1D5A"/>
    <w:rsid w:val="005B312A"/>
    <w:rsid w:val="005B5C49"/>
    <w:rsid w:val="005B7BC4"/>
    <w:rsid w:val="005C6453"/>
    <w:rsid w:val="005C66D6"/>
    <w:rsid w:val="005E687B"/>
    <w:rsid w:val="005F17EE"/>
    <w:rsid w:val="005F665D"/>
    <w:rsid w:val="005F76EC"/>
    <w:rsid w:val="005F79E8"/>
    <w:rsid w:val="00600F6A"/>
    <w:rsid w:val="00603778"/>
    <w:rsid w:val="00604A62"/>
    <w:rsid w:val="006050D9"/>
    <w:rsid w:val="00607673"/>
    <w:rsid w:val="006150A4"/>
    <w:rsid w:val="00617C73"/>
    <w:rsid w:val="00625E5C"/>
    <w:rsid w:val="006349FB"/>
    <w:rsid w:val="00641402"/>
    <w:rsid w:val="00646754"/>
    <w:rsid w:val="00647585"/>
    <w:rsid w:val="00666B07"/>
    <w:rsid w:val="0067389D"/>
    <w:rsid w:val="006748D8"/>
    <w:rsid w:val="006803C0"/>
    <w:rsid w:val="006916B0"/>
    <w:rsid w:val="006926A8"/>
    <w:rsid w:val="00693A5C"/>
    <w:rsid w:val="00696D58"/>
    <w:rsid w:val="00697B2E"/>
    <w:rsid w:val="006A18FB"/>
    <w:rsid w:val="006A46D7"/>
    <w:rsid w:val="006B0243"/>
    <w:rsid w:val="006B11BB"/>
    <w:rsid w:val="006B3AC5"/>
    <w:rsid w:val="006B7543"/>
    <w:rsid w:val="006C2B1F"/>
    <w:rsid w:val="006C7C9F"/>
    <w:rsid w:val="006D0F1C"/>
    <w:rsid w:val="006D3450"/>
    <w:rsid w:val="006E0DE5"/>
    <w:rsid w:val="006E31F3"/>
    <w:rsid w:val="006F47B9"/>
    <w:rsid w:val="006F5148"/>
    <w:rsid w:val="006F6739"/>
    <w:rsid w:val="006F749D"/>
    <w:rsid w:val="00701C0D"/>
    <w:rsid w:val="00704443"/>
    <w:rsid w:val="007049E3"/>
    <w:rsid w:val="00711C4F"/>
    <w:rsid w:val="007154CD"/>
    <w:rsid w:val="00730BBF"/>
    <w:rsid w:val="00746B18"/>
    <w:rsid w:val="00771E84"/>
    <w:rsid w:val="00786AB2"/>
    <w:rsid w:val="00787DA2"/>
    <w:rsid w:val="00790387"/>
    <w:rsid w:val="007A0A7E"/>
    <w:rsid w:val="007A5442"/>
    <w:rsid w:val="007B17D4"/>
    <w:rsid w:val="007B4848"/>
    <w:rsid w:val="007C010C"/>
    <w:rsid w:val="007C10B5"/>
    <w:rsid w:val="007D14EA"/>
    <w:rsid w:val="007F08C8"/>
    <w:rsid w:val="007F3460"/>
    <w:rsid w:val="007F6D96"/>
    <w:rsid w:val="00801E45"/>
    <w:rsid w:val="008049B5"/>
    <w:rsid w:val="00812C10"/>
    <w:rsid w:val="00813A73"/>
    <w:rsid w:val="00817FF0"/>
    <w:rsid w:val="00821937"/>
    <w:rsid w:val="00826C10"/>
    <w:rsid w:val="008319DB"/>
    <w:rsid w:val="00837C7F"/>
    <w:rsid w:val="00843A3B"/>
    <w:rsid w:val="00846D70"/>
    <w:rsid w:val="008540AB"/>
    <w:rsid w:val="0086019D"/>
    <w:rsid w:val="008627F8"/>
    <w:rsid w:val="00863AC1"/>
    <w:rsid w:val="008652C9"/>
    <w:rsid w:val="0086553E"/>
    <w:rsid w:val="00867EE0"/>
    <w:rsid w:val="00873C04"/>
    <w:rsid w:val="0089108C"/>
    <w:rsid w:val="00891AE8"/>
    <w:rsid w:val="0089474F"/>
    <w:rsid w:val="008971A4"/>
    <w:rsid w:val="008A1891"/>
    <w:rsid w:val="008A68FA"/>
    <w:rsid w:val="008B03FE"/>
    <w:rsid w:val="008B18CF"/>
    <w:rsid w:val="008C3F02"/>
    <w:rsid w:val="008C48D3"/>
    <w:rsid w:val="008D60D1"/>
    <w:rsid w:val="008F317C"/>
    <w:rsid w:val="00901973"/>
    <w:rsid w:val="009032EA"/>
    <w:rsid w:val="00904C80"/>
    <w:rsid w:val="00905E2A"/>
    <w:rsid w:val="00910F1C"/>
    <w:rsid w:val="00913FA9"/>
    <w:rsid w:val="00914A02"/>
    <w:rsid w:val="0092015E"/>
    <w:rsid w:val="00931D12"/>
    <w:rsid w:val="00934590"/>
    <w:rsid w:val="0094204D"/>
    <w:rsid w:val="0094369F"/>
    <w:rsid w:val="0094739E"/>
    <w:rsid w:val="0094799D"/>
    <w:rsid w:val="009505D1"/>
    <w:rsid w:val="0095476C"/>
    <w:rsid w:val="00960789"/>
    <w:rsid w:val="00962A4D"/>
    <w:rsid w:val="00964D1A"/>
    <w:rsid w:val="0096735B"/>
    <w:rsid w:val="00984BBF"/>
    <w:rsid w:val="00987589"/>
    <w:rsid w:val="00990DB5"/>
    <w:rsid w:val="00990F87"/>
    <w:rsid w:val="00995307"/>
    <w:rsid w:val="00996AE9"/>
    <w:rsid w:val="009A07AE"/>
    <w:rsid w:val="009A4B4C"/>
    <w:rsid w:val="009A4D6C"/>
    <w:rsid w:val="009A5AAB"/>
    <w:rsid w:val="009A6418"/>
    <w:rsid w:val="009A7383"/>
    <w:rsid w:val="009B4141"/>
    <w:rsid w:val="009B5CEB"/>
    <w:rsid w:val="009C6430"/>
    <w:rsid w:val="009D1152"/>
    <w:rsid w:val="009E49C8"/>
    <w:rsid w:val="009E4D7C"/>
    <w:rsid w:val="00A024C4"/>
    <w:rsid w:val="00A02706"/>
    <w:rsid w:val="00A1116D"/>
    <w:rsid w:val="00A11ABC"/>
    <w:rsid w:val="00A1405A"/>
    <w:rsid w:val="00A16787"/>
    <w:rsid w:val="00A2389B"/>
    <w:rsid w:val="00A26CFA"/>
    <w:rsid w:val="00A325A2"/>
    <w:rsid w:val="00A35243"/>
    <w:rsid w:val="00A4174F"/>
    <w:rsid w:val="00A464ED"/>
    <w:rsid w:val="00A50664"/>
    <w:rsid w:val="00A56002"/>
    <w:rsid w:val="00A64A0D"/>
    <w:rsid w:val="00A733DC"/>
    <w:rsid w:val="00A82289"/>
    <w:rsid w:val="00A84758"/>
    <w:rsid w:val="00A8551C"/>
    <w:rsid w:val="00AA0FE2"/>
    <w:rsid w:val="00AA50E9"/>
    <w:rsid w:val="00AB4F64"/>
    <w:rsid w:val="00AD006B"/>
    <w:rsid w:val="00AD3596"/>
    <w:rsid w:val="00AD4D2F"/>
    <w:rsid w:val="00AE11C1"/>
    <w:rsid w:val="00AE2A93"/>
    <w:rsid w:val="00AE4793"/>
    <w:rsid w:val="00AE4F86"/>
    <w:rsid w:val="00B0289E"/>
    <w:rsid w:val="00B02F85"/>
    <w:rsid w:val="00B32090"/>
    <w:rsid w:val="00B338DE"/>
    <w:rsid w:val="00B4042C"/>
    <w:rsid w:val="00B40E94"/>
    <w:rsid w:val="00B447C5"/>
    <w:rsid w:val="00B62791"/>
    <w:rsid w:val="00B70EA7"/>
    <w:rsid w:val="00B74FF7"/>
    <w:rsid w:val="00B81497"/>
    <w:rsid w:val="00B85B38"/>
    <w:rsid w:val="00B91104"/>
    <w:rsid w:val="00BA16BC"/>
    <w:rsid w:val="00BB73A2"/>
    <w:rsid w:val="00BC748D"/>
    <w:rsid w:val="00BC77E4"/>
    <w:rsid w:val="00BD14B5"/>
    <w:rsid w:val="00BD1F79"/>
    <w:rsid w:val="00BD5EC2"/>
    <w:rsid w:val="00BD772F"/>
    <w:rsid w:val="00BE06C6"/>
    <w:rsid w:val="00BE25BA"/>
    <w:rsid w:val="00BE4965"/>
    <w:rsid w:val="00BE7AA6"/>
    <w:rsid w:val="00BF3A9D"/>
    <w:rsid w:val="00BF5C4F"/>
    <w:rsid w:val="00BF65C9"/>
    <w:rsid w:val="00BF69AC"/>
    <w:rsid w:val="00BF7CE2"/>
    <w:rsid w:val="00C1307A"/>
    <w:rsid w:val="00C14FB8"/>
    <w:rsid w:val="00C20D83"/>
    <w:rsid w:val="00C21706"/>
    <w:rsid w:val="00C23657"/>
    <w:rsid w:val="00C24D16"/>
    <w:rsid w:val="00C33325"/>
    <w:rsid w:val="00C36A85"/>
    <w:rsid w:val="00C37D72"/>
    <w:rsid w:val="00C445FB"/>
    <w:rsid w:val="00C46999"/>
    <w:rsid w:val="00C469C3"/>
    <w:rsid w:val="00C543A0"/>
    <w:rsid w:val="00C650BC"/>
    <w:rsid w:val="00C83EFB"/>
    <w:rsid w:val="00C91352"/>
    <w:rsid w:val="00C95188"/>
    <w:rsid w:val="00C9645A"/>
    <w:rsid w:val="00CA5408"/>
    <w:rsid w:val="00CB058F"/>
    <w:rsid w:val="00CB05E4"/>
    <w:rsid w:val="00CB28CC"/>
    <w:rsid w:val="00CB4A90"/>
    <w:rsid w:val="00CB5831"/>
    <w:rsid w:val="00CB7770"/>
    <w:rsid w:val="00CD5CA0"/>
    <w:rsid w:val="00CE3317"/>
    <w:rsid w:val="00CE4F53"/>
    <w:rsid w:val="00CE797A"/>
    <w:rsid w:val="00CF04B0"/>
    <w:rsid w:val="00CF263B"/>
    <w:rsid w:val="00CF36B8"/>
    <w:rsid w:val="00D02EC6"/>
    <w:rsid w:val="00D11CD9"/>
    <w:rsid w:val="00D21EB1"/>
    <w:rsid w:val="00D329FF"/>
    <w:rsid w:val="00D4460A"/>
    <w:rsid w:val="00D774A0"/>
    <w:rsid w:val="00D83916"/>
    <w:rsid w:val="00D851C7"/>
    <w:rsid w:val="00D86D29"/>
    <w:rsid w:val="00D92C81"/>
    <w:rsid w:val="00D947DC"/>
    <w:rsid w:val="00DA4E78"/>
    <w:rsid w:val="00DA7492"/>
    <w:rsid w:val="00DB3809"/>
    <w:rsid w:val="00DC2758"/>
    <w:rsid w:val="00DC3772"/>
    <w:rsid w:val="00DC52CA"/>
    <w:rsid w:val="00DD0D3A"/>
    <w:rsid w:val="00DD0FAE"/>
    <w:rsid w:val="00DD1309"/>
    <w:rsid w:val="00DD36CC"/>
    <w:rsid w:val="00DD3BFE"/>
    <w:rsid w:val="00DE06B2"/>
    <w:rsid w:val="00DE57A2"/>
    <w:rsid w:val="00DF2DE7"/>
    <w:rsid w:val="00DF48DF"/>
    <w:rsid w:val="00DF6646"/>
    <w:rsid w:val="00DF6A4B"/>
    <w:rsid w:val="00DF7BBF"/>
    <w:rsid w:val="00E00392"/>
    <w:rsid w:val="00E15A95"/>
    <w:rsid w:val="00E227A9"/>
    <w:rsid w:val="00E25935"/>
    <w:rsid w:val="00E2613C"/>
    <w:rsid w:val="00E27015"/>
    <w:rsid w:val="00E32F9F"/>
    <w:rsid w:val="00E33D35"/>
    <w:rsid w:val="00E347FB"/>
    <w:rsid w:val="00E410E5"/>
    <w:rsid w:val="00E55961"/>
    <w:rsid w:val="00E55BDD"/>
    <w:rsid w:val="00E5728A"/>
    <w:rsid w:val="00E6159C"/>
    <w:rsid w:val="00E71963"/>
    <w:rsid w:val="00E81AE0"/>
    <w:rsid w:val="00E8265D"/>
    <w:rsid w:val="00E8536D"/>
    <w:rsid w:val="00E90288"/>
    <w:rsid w:val="00E9080D"/>
    <w:rsid w:val="00E91600"/>
    <w:rsid w:val="00E91641"/>
    <w:rsid w:val="00E94AD8"/>
    <w:rsid w:val="00EA1863"/>
    <w:rsid w:val="00EA467E"/>
    <w:rsid w:val="00EA7DE5"/>
    <w:rsid w:val="00EC0071"/>
    <w:rsid w:val="00EE1C90"/>
    <w:rsid w:val="00EE1E33"/>
    <w:rsid w:val="00EE43D6"/>
    <w:rsid w:val="00EE4BDE"/>
    <w:rsid w:val="00EF0134"/>
    <w:rsid w:val="00EF505C"/>
    <w:rsid w:val="00EF593E"/>
    <w:rsid w:val="00F001C5"/>
    <w:rsid w:val="00F00558"/>
    <w:rsid w:val="00F12798"/>
    <w:rsid w:val="00F2451D"/>
    <w:rsid w:val="00F25FCA"/>
    <w:rsid w:val="00F32133"/>
    <w:rsid w:val="00F324C1"/>
    <w:rsid w:val="00F328ED"/>
    <w:rsid w:val="00F35779"/>
    <w:rsid w:val="00F36C29"/>
    <w:rsid w:val="00F375B7"/>
    <w:rsid w:val="00F42A9D"/>
    <w:rsid w:val="00F42C33"/>
    <w:rsid w:val="00F4713B"/>
    <w:rsid w:val="00F553F6"/>
    <w:rsid w:val="00F74477"/>
    <w:rsid w:val="00F84D80"/>
    <w:rsid w:val="00F95364"/>
    <w:rsid w:val="00FA0BE5"/>
    <w:rsid w:val="00FC2EB9"/>
    <w:rsid w:val="00FC44E9"/>
    <w:rsid w:val="00FD1BB3"/>
    <w:rsid w:val="00FD2746"/>
    <w:rsid w:val="00FD39FA"/>
    <w:rsid w:val="00FD78E6"/>
    <w:rsid w:val="00FE03B5"/>
    <w:rsid w:val="00FE2027"/>
    <w:rsid w:val="00FE2E87"/>
    <w:rsid w:val="00FE33B3"/>
    <w:rsid w:val="00FE3C2C"/>
    <w:rsid w:val="00FE5BE3"/>
    <w:rsid w:val="00FF1271"/>
    <w:rsid w:val="00FF41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2457"/>
    <w:pPr>
      <w:spacing w:before="120" w:after="120" w:line="280" w:lineRule="atLeast"/>
    </w:pPr>
    <w:rPr>
      <w:rFonts w:ascii="Cambria" w:hAnsi="Cambria"/>
      <w:sz w:val="22"/>
      <w:szCs w:val="24"/>
    </w:rPr>
  </w:style>
  <w:style w:type="paragraph" w:styleId="Heading1">
    <w:name w:val="heading 1"/>
    <w:basedOn w:val="Normal"/>
    <w:next w:val="Normal"/>
    <w:link w:val="Heading1Char"/>
    <w:uiPriority w:val="9"/>
    <w:qFormat/>
    <w:rsid w:val="002E7F14"/>
    <w:pPr>
      <w:keepNext/>
      <w:spacing w:before="240" w:after="60"/>
      <w:outlineLvl w:val="0"/>
    </w:pPr>
    <w:rPr>
      <w:rFonts w:asciiTheme="majorHAnsi" w:eastAsiaTheme="majorEastAsia" w:hAnsiTheme="majorHAnsi" w:cstheme="majorBidi"/>
      <w:iCs/>
      <w:color w:val="244061" w:themeColor="accent1" w:themeShade="80"/>
      <w:kern w:val="32"/>
      <w:sz w:val="32"/>
      <w:szCs w:val="32"/>
    </w:rPr>
  </w:style>
  <w:style w:type="paragraph" w:styleId="Heading2">
    <w:name w:val="heading 2"/>
    <w:basedOn w:val="Normal"/>
    <w:next w:val="Normal"/>
    <w:link w:val="Heading2Char"/>
    <w:uiPriority w:val="9"/>
    <w:unhideWhenUsed/>
    <w:qFormat/>
    <w:rsid w:val="001462E1"/>
    <w:pPr>
      <w:keepNext/>
      <w:spacing w:before="240" w:after="60"/>
      <w:outlineLvl w:val="1"/>
    </w:pPr>
    <w:rPr>
      <w:rFonts w:asciiTheme="majorHAnsi" w:eastAsiaTheme="majorEastAsia" w:hAnsiTheme="majorHAnsi" w:cstheme="majorBidi"/>
      <w:color w:val="244061" w:themeColor="accent1" w:themeShade="80"/>
      <w:sz w:val="26"/>
      <w:szCs w:val="26"/>
    </w:rPr>
  </w:style>
  <w:style w:type="paragraph" w:styleId="Heading3">
    <w:name w:val="heading 3"/>
    <w:basedOn w:val="Heading2"/>
    <w:next w:val="Normal"/>
    <w:link w:val="Heading3Char"/>
    <w:unhideWhenUsed/>
    <w:qFormat/>
    <w:rsid w:val="0094204D"/>
    <w:pPr>
      <w:outlineLvl w:val="2"/>
    </w:pPr>
    <w:rPr>
      <w:i/>
      <w:sz w:val="22"/>
    </w:rPr>
  </w:style>
  <w:style w:type="paragraph" w:styleId="Heading4">
    <w:name w:val="heading 4"/>
    <w:basedOn w:val="Normal"/>
    <w:next w:val="Normal"/>
    <w:link w:val="Heading4Char"/>
    <w:uiPriority w:val="9"/>
    <w:unhideWhenUsed/>
    <w:qFormat/>
    <w:rsid w:val="006F6739"/>
    <w:pPr>
      <w:keepNext/>
      <w:keepLines/>
      <w:spacing w:before="200" w:after="0"/>
      <w:outlineLvl w:val="3"/>
    </w:pPr>
    <w:rPr>
      <w:rFonts w:asciiTheme="majorHAnsi" w:eastAsiaTheme="majorEastAsia" w:hAnsiTheme="majorHAnsi" w:cstheme="majorBidi"/>
      <w:b/>
      <w:bCs/>
      <w:i/>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s">
    <w:name w:val="Table_titles"/>
    <w:basedOn w:val="Normal"/>
    <w:rsid w:val="006F6739"/>
    <w:pPr>
      <w:spacing w:line="220" w:lineRule="exact"/>
    </w:pPr>
    <w:rPr>
      <w:i/>
      <w:color w:val="000000"/>
      <w:lang w:eastAsia="en-AU"/>
    </w:rPr>
  </w:style>
  <w:style w:type="paragraph" w:customStyle="1" w:styleId="PhDHead">
    <w:name w:val="PhDHead"/>
    <w:basedOn w:val="Normal"/>
    <w:rsid w:val="002A4035"/>
    <w:rPr>
      <w:b/>
    </w:rPr>
  </w:style>
  <w:style w:type="paragraph" w:customStyle="1" w:styleId="PhDCHAPTER">
    <w:name w:val="PhDCHAPTER"/>
    <w:basedOn w:val="PhDHead"/>
    <w:rsid w:val="002A4035"/>
    <w:rPr>
      <w:rFonts w:ascii="Times New Roman" w:hAnsi="Times New Roman"/>
      <w:sz w:val="28"/>
    </w:rPr>
  </w:style>
  <w:style w:type="paragraph" w:customStyle="1" w:styleId="Ph4">
    <w:name w:val="Ph4"/>
    <w:basedOn w:val="Normal"/>
    <w:next w:val="Normal"/>
    <w:rsid w:val="00E227A9"/>
    <w:pPr>
      <w:spacing w:before="0" w:after="0"/>
    </w:pPr>
    <w:rPr>
      <w:rFonts w:ascii="Californian FB" w:hAnsi="Californian FB"/>
      <w:bCs/>
      <w:i/>
      <w:iCs/>
      <w:color w:val="0F243E"/>
    </w:rPr>
  </w:style>
  <w:style w:type="character" w:customStyle="1" w:styleId="Heading2Char">
    <w:name w:val="Heading 2 Char"/>
    <w:basedOn w:val="DefaultParagraphFont"/>
    <w:link w:val="Heading2"/>
    <w:uiPriority w:val="9"/>
    <w:rsid w:val="001462E1"/>
    <w:rPr>
      <w:rFonts w:asciiTheme="majorHAnsi" w:eastAsiaTheme="majorEastAsia" w:hAnsiTheme="majorHAnsi" w:cstheme="majorBidi"/>
      <w:color w:val="244061" w:themeColor="accent1" w:themeShade="80"/>
      <w:sz w:val="26"/>
      <w:szCs w:val="26"/>
    </w:rPr>
  </w:style>
  <w:style w:type="character" w:customStyle="1" w:styleId="Heading3Char">
    <w:name w:val="Heading 3 Char"/>
    <w:basedOn w:val="DefaultParagraphFont"/>
    <w:link w:val="Heading3"/>
    <w:rsid w:val="0094204D"/>
    <w:rPr>
      <w:rFonts w:asciiTheme="majorHAnsi" w:eastAsiaTheme="majorEastAsia" w:hAnsiTheme="majorHAnsi" w:cstheme="majorBidi"/>
      <w:i/>
      <w:color w:val="244061" w:themeColor="accent1" w:themeShade="80"/>
      <w:sz w:val="22"/>
      <w:szCs w:val="26"/>
    </w:rPr>
  </w:style>
  <w:style w:type="character" w:customStyle="1" w:styleId="Heading4Char">
    <w:name w:val="Heading 4 Char"/>
    <w:basedOn w:val="DefaultParagraphFont"/>
    <w:link w:val="Heading4"/>
    <w:uiPriority w:val="9"/>
    <w:rsid w:val="006F6739"/>
    <w:rPr>
      <w:rFonts w:asciiTheme="majorHAnsi" w:eastAsiaTheme="majorEastAsia" w:hAnsiTheme="majorHAnsi" w:cstheme="majorBidi"/>
      <w:b/>
      <w:bCs/>
      <w:i/>
      <w:iCs/>
      <w:color w:val="17365D" w:themeColor="text2" w:themeShade="BF"/>
      <w:sz w:val="22"/>
      <w:szCs w:val="24"/>
    </w:rPr>
  </w:style>
  <w:style w:type="character" w:customStyle="1" w:styleId="Heading1Char">
    <w:name w:val="Heading 1 Char"/>
    <w:basedOn w:val="DefaultParagraphFont"/>
    <w:link w:val="Heading1"/>
    <w:uiPriority w:val="9"/>
    <w:rsid w:val="002E7F14"/>
    <w:rPr>
      <w:rFonts w:asciiTheme="majorHAnsi" w:eastAsiaTheme="majorEastAsia" w:hAnsiTheme="majorHAnsi" w:cstheme="majorBidi"/>
      <w:iCs/>
      <w:color w:val="244061" w:themeColor="accent1" w:themeShade="80"/>
      <w:kern w:val="32"/>
      <w:sz w:val="32"/>
      <w:szCs w:val="32"/>
    </w:rPr>
  </w:style>
  <w:style w:type="paragraph" w:styleId="Title">
    <w:name w:val="Title"/>
    <w:basedOn w:val="Normal"/>
    <w:next w:val="Normal"/>
    <w:link w:val="TitleChar"/>
    <w:uiPriority w:val="10"/>
    <w:qFormat/>
    <w:rsid w:val="006F673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73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6F6739"/>
    <w:rPr>
      <w:rFonts w:ascii="Calibri" w:hAnsi="Calibri"/>
      <w:sz w:val="22"/>
      <w:szCs w:val="24"/>
    </w:rPr>
  </w:style>
  <w:style w:type="paragraph" w:styleId="Footer">
    <w:name w:val="footer"/>
    <w:basedOn w:val="Normal"/>
    <w:link w:val="FooterChar"/>
    <w:uiPriority w:val="99"/>
    <w:rsid w:val="00541AC8"/>
    <w:pPr>
      <w:tabs>
        <w:tab w:val="center" w:pos="4153"/>
        <w:tab w:val="right" w:pos="8306"/>
      </w:tabs>
    </w:pPr>
  </w:style>
  <w:style w:type="character" w:customStyle="1" w:styleId="FooterChar">
    <w:name w:val="Footer Char"/>
    <w:basedOn w:val="DefaultParagraphFont"/>
    <w:link w:val="Footer"/>
    <w:uiPriority w:val="99"/>
    <w:rsid w:val="00541AC8"/>
    <w:rPr>
      <w:rFonts w:ascii="Calibri" w:hAnsi="Calibri" w:cs="Arial"/>
      <w:bCs/>
      <w:iCs/>
      <w:sz w:val="22"/>
    </w:rPr>
  </w:style>
  <w:style w:type="paragraph" w:styleId="Header">
    <w:name w:val="header"/>
    <w:basedOn w:val="Normal"/>
    <w:link w:val="HeaderChar"/>
    <w:rsid w:val="00541AC8"/>
    <w:pPr>
      <w:tabs>
        <w:tab w:val="center" w:pos="4153"/>
        <w:tab w:val="right" w:pos="8306"/>
      </w:tabs>
    </w:pPr>
  </w:style>
  <w:style w:type="character" w:customStyle="1" w:styleId="HeaderChar">
    <w:name w:val="Header Char"/>
    <w:basedOn w:val="DefaultParagraphFont"/>
    <w:link w:val="Header"/>
    <w:rsid w:val="00541AC8"/>
    <w:rPr>
      <w:rFonts w:ascii="Calibri" w:hAnsi="Calibri" w:cs="Arial"/>
      <w:bCs/>
      <w:iCs/>
      <w:sz w:val="22"/>
    </w:rPr>
  </w:style>
  <w:style w:type="paragraph" w:styleId="BalloonText">
    <w:name w:val="Balloon Text"/>
    <w:basedOn w:val="Normal"/>
    <w:link w:val="BalloonTextChar"/>
    <w:uiPriority w:val="99"/>
    <w:semiHidden/>
    <w:unhideWhenUsed/>
    <w:rsid w:val="001C5E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2B"/>
    <w:rPr>
      <w:rFonts w:ascii="Tahoma" w:hAnsi="Tahoma" w:cs="Tahoma"/>
      <w:sz w:val="16"/>
      <w:szCs w:val="16"/>
    </w:rPr>
  </w:style>
  <w:style w:type="paragraph" w:styleId="TOCHeading">
    <w:name w:val="TOC Heading"/>
    <w:basedOn w:val="Heading1"/>
    <w:next w:val="Normal"/>
    <w:uiPriority w:val="39"/>
    <w:semiHidden/>
    <w:unhideWhenUsed/>
    <w:qFormat/>
    <w:rsid w:val="005B7BC4"/>
    <w:pPr>
      <w:keepLines/>
      <w:spacing w:before="480" w:after="0" w:line="276" w:lineRule="auto"/>
      <w:outlineLvl w:val="9"/>
    </w:pPr>
    <w:rPr>
      <w:b/>
      <w:bCs/>
      <w:iCs w:val="0"/>
      <w:color w:val="365F91" w:themeColor="accent1" w:themeShade="BF"/>
      <w:kern w:val="0"/>
      <w:sz w:val="28"/>
      <w:szCs w:val="28"/>
      <w:lang w:val="en-US"/>
    </w:rPr>
  </w:style>
  <w:style w:type="paragraph" w:styleId="TOC1">
    <w:name w:val="toc 1"/>
    <w:basedOn w:val="Normal"/>
    <w:next w:val="Normal"/>
    <w:autoRedefine/>
    <w:uiPriority w:val="39"/>
    <w:unhideWhenUsed/>
    <w:rsid w:val="005B7BC4"/>
    <w:pPr>
      <w:spacing w:after="100"/>
    </w:pPr>
  </w:style>
  <w:style w:type="character" w:styleId="Hyperlink">
    <w:name w:val="Hyperlink"/>
    <w:basedOn w:val="DefaultParagraphFont"/>
    <w:uiPriority w:val="99"/>
    <w:unhideWhenUsed/>
    <w:rsid w:val="005B7BC4"/>
    <w:rPr>
      <w:color w:val="0000FF" w:themeColor="hyperlink"/>
      <w:u w:val="single"/>
    </w:rPr>
  </w:style>
  <w:style w:type="paragraph" w:customStyle="1" w:styleId="Default">
    <w:name w:val="Default"/>
    <w:rsid w:val="0040240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84D80"/>
    <w:pPr>
      <w:ind w:left="720"/>
      <w:contextualSpacing/>
    </w:pPr>
  </w:style>
  <w:style w:type="character" w:styleId="FollowedHyperlink">
    <w:name w:val="FollowedHyperlink"/>
    <w:basedOn w:val="DefaultParagraphFont"/>
    <w:uiPriority w:val="99"/>
    <w:semiHidden/>
    <w:unhideWhenUsed/>
    <w:rsid w:val="00F553F6"/>
    <w:rPr>
      <w:color w:val="800080" w:themeColor="followedHyperlink"/>
      <w:u w:val="single"/>
    </w:rPr>
  </w:style>
  <w:style w:type="paragraph" w:styleId="NormalWeb">
    <w:name w:val="Normal (Web)"/>
    <w:basedOn w:val="Normal"/>
    <w:uiPriority w:val="99"/>
    <w:semiHidden/>
    <w:unhideWhenUsed/>
    <w:rsid w:val="00BE25BA"/>
    <w:pPr>
      <w:spacing w:before="100" w:beforeAutospacing="1" w:after="100" w:afterAutospacing="1" w:line="240" w:lineRule="auto"/>
    </w:pPr>
    <w:rPr>
      <w:rFonts w:ascii="Times New Roman" w:hAnsi="Times New Roman"/>
      <w:sz w:val="24"/>
      <w:lang w:eastAsia="en-AU"/>
    </w:rPr>
  </w:style>
  <w:style w:type="character" w:styleId="Strong">
    <w:name w:val="Strong"/>
    <w:basedOn w:val="DefaultParagraphFont"/>
    <w:uiPriority w:val="22"/>
    <w:qFormat/>
    <w:rsid w:val="00BE25BA"/>
    <w:rPr>
      <w:b/>
      <w:bCs/>
    </w:rPr>
  </w:style>
  <w:style w:type="paragraph" w:styleId="FootnoteText">
    <w:name w:val="footnote text"/>
    <w:basedOn w:val="Normal"/>
    <w:link w:val="FootnoteTextChar"/>
    <w:uiPriority w:val="99"/>
    <w:semiHidden/>
    <w:unhideWhenUsed/>
    <w:rsid w:val="000A4B1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A4B10"/>
    <w:rPr>
      <w:rFonts w:ascii="Cambria" w:hAnsi="Cambria"/>
    </w:rPr>
  </w:style>
  <w:style w:type="character" w:styleId="FootnoteReference">
    <w:name w:val="footnote reference"/>
    <w:basedOn w:val="DefaultParagraphFont"/>
    <w:uiPriority w:val="99"/>
    <w:semiHidden/>
    <w:unhideWhenUsed/>
    <w:rsid w:val="000A4B10"/>
    <w:rPr>
      <w:vertAlign w:val="superscript"/>
    </w:rPr>
  </w:style>
  <w:style w:type="paragraph" w:styleId="TOC2">
    <w:name w:val="toc 2"/>
    <w:basedOn w:val="Normal"/>
    <w:next w:val="Normal"/>
    <w:autoRedefine/>
    <w:uiPriority w:val="39"/>
    <w:unhideWhenUsed/>
    <w:rsid w:val="00DA7492"/>
    <w:pPr>
      <w:tabs>
        <w:tab w:val="left" w:pos="851"/>
        <w:tab w:val="right" w:leader="dot" w:pos="9016"/>
      </w:tabs>
      <w:spacing w:after="100"/>
      <w:ind w:left="220"/>
    </w:pPr>
  </w:style>
  <w:style w:type="character" w:customStyle="1" w:styleId="apple-converted-space">
    <w:name w:val="apple-converted-space"/>
    <w:basedOn w:val="DefaultParagraphFont"/>
    <w:rsid w:val="00625E5C"/>
  </w:style>
  <w:style w:type="paragraph" w:styleId="TOC3">
    <w:name w:val="toc 3"/>
    <w:basedOn w:val="Normal"/>
    <w:next w:val="Normal"/>
    <w:autoRedefine/>
    <w:uiPriority w:val="39"/>
    <w:unhideWhenUsed/>
    <w:rsid w:val="004C2D44"/>
    <w:pPr>
      <w:spacing w:after="100"/>
      <w:ind w:left="440"/>
    </w:pPr>
  </w:style>
  <w:style w:type="table" w:styleId="TableGrid">
    <w:name w:val="Table Grid"/>
    <w:basedOn w:val="TableNormal"/>
    <w:rsid w:val="00E25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4AD8"/>
    <w:rPr>
      <w:sz w:val="16"/>
      <w:szCs w:val="16"/>
    </w:rPr>
  </w:style>
  <w:style w:type="paragraph" w:styleId="CommentText">
    <w:name w:val="annotation text"/>
    <w:basedOn w:val="Normal"/>
    <w:link w:val="CommentTextChar"/>
    <w:uiPriority w:val="99"/>
    <w:semiHidden/>
    <w:unhideWhenUsed/>
    <w:rsid w:val="00E94AD8"/>
    <w:pPr>
      <w:spacing w:line="240" w:lineRule="auto"/>
    </w:pPr>
    <w:rPr>
      <w:sz w:val="20"/>
      <w:szCs w:val="20"/>
    </w:rPr>
  </w:style>
  <w:style w:type="character" w:customStyle="1" w:styleId="CommentTextChar">
    <w:name w:val="Comment Text Char"/>
    <w:basedOn w:val="DefaultParagraphFont"/>
    <w:link w:val="CommentText"/>
    <w:uiPriority w:val="99"/>
    <w:semiHidden/>
    <w:rsid w:val="00E94AD8"/>
    <w:rPr>
      <w:rFonts w:ascii="Cambria" w:hAnsi="Cambria"/>
    </w:rPr>
  </w:style>
  <w:style w:type="paragraph" w:styleId="CommentSubject">
    <w:name w:val="annotation subject"/>
    <w:basedOn w:val="CommentText"/>
    <w:next w:val="CommentText"/>
    <w:link w:val="CommentSubjectChar"/>
    <w:uiPriority w:val="99"/>
    <w:semiHidden/>
    <w:unhideWhenUsed/>
    <w:rsid w:val="00E94AD8"/>
    <w:rPr>
      <w:b/>
      <w:bCs/>
    </w:rPr>
  </w:style>
  <w:style w:type="character" w:customStyle="1" w:styleId="CommentSubjectChar">
    <w:name w:val="Comment Subject Char"/>
    <w:basedOn w:val="CommentTextChar"/>
    <w:link w:val="CommentSubject"/>
    <w:uiPriority w:val="99"/>
    <w:semiHidden/>
    <w:rsid w:val="00E94AD8"/>
    <w:rPr>
      <w:rFonts w:ascii="Cambria" w:hAnsi="Cambri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2457"/>
    <w:pPr>
      <w:spacing w:before="120" w:after="120" w:line="280" w:lineRule="atLeast"/>
    </w:pPr>
    <w:rPr>
      <w:rFonts w:ascii="Cambria" w:hAnsi="Cambria"/>
      <w:sz w:val="22"/>
      <w:szCs w:val="24"/>
    </w:rPr>
  </w:style>
  <w:style w:type="paragraph" w:styleId="Heading1">
    <w:name w:val="heading 1"/>
    <w:basedOn w:val="Normal"/>
    <w:next w:val="Normal"/>
    <w:link w:val="Heading1Char"/>
    <w:uiPriority w:val="9"/>
    <w:qFormat/>
    <w:rsid w:val="002E7F14"/>
    <w:pPr>
      <w:keepNext/>
      <w:spacing w:before="240" w:after="60"/>
      <w:outlineLvl w:val="0"/>
    </w:pPr>
    <w:rPr>
      <w:rFonts w:asciiTheme="majorHAnsi" w:eastAsiaTheme="majorEastAsia" w:hAnsiTheme="majorHAnsi" w:cstheme="majorBidi"/>
      <w:iCs/>
      <w:color w:val="244061" w:themeColor="accent1" w:themeShade="80"/>
      <w:kern w:val="32"/>
      <w:sz w:val="32"/>
      <w:szCs w:val="32"/>
    </w:rPr>
  </w:style>
  <w:style w:type="paragraph" w:styleId="Heading2">
    <w:name w:val="heading 2"/>
    <w:basedOn w:val="Normal"/>
    <w:next w:val="Normal"/>
    <w:link w:val="Heading2Char"/>
    <w:uiPriority w:val="9"/>
    <w:unhideWhenUsed/>
    <w:qFormat/>
    <w:rsid w:val="001462E1"/>
    <w:pPr>
      <w:keepNext/>
      <w:spacing w:before="240" w:after="60"/>
      <w:outlineLvl w:val="1"/>
    </w:pPr>
    <w:rPr>
      <w:rFonts w:asciiTheme="majorHAnsi" w:eastAsiaTheme="majorEastAsia" w:hAnsiTheme="majorHAnsi" w:cstheme="majorBidi"/>
      <w:color w:val="244061" w:themeColor="accent1" w:themeShade="80"/>
      <w:sz w:val="26"/>
      <w:szCs w:val="26"/>
    </w:rPr>
  </w:style>
  <w:style w:type="paragraph" w:styleId="Heading3">
    <w:name w:val="heading 3"/>
    <w:basedOn w:val="Heading2"/>
    <w:next w:val="Normal"/>
    <w:link w:val="Heading3Char"/>
    <w:unhideWhenUsed/>
    <w:qFormat/>
    <w:rsid w:val="0094204D"/>
    <w:pPr>
      <w:outlineLvl w:val="2"/>
    </w:pPr>
    <w:rPr>
      <w:i/>
      <w:sz w:val="22"/>
    </w:rPr>
  </w:style>
  <w:style w:type="paragraph" w:styleId="Heading4">
    <w:name w:val="heading 4"/>
    <w:basedOn w:val="Normal"/>
    <w:next w:val="Normal"/>
    <w:link w:val="Heading4Char"/>
    <w:uiPriority w:val="9"/>
    <w:unhideWhenUsed/>
    <w:qFormat/>
    <w:rsid w:val="006F6739"/>
    <w:pPr>
      <w:keepNext/>
      <w:keepLines/>
      <w:spacing w:before="200" w:after="0"/>
      <w:outlineLvl w:val="3"/>
    </w:pPr>
    <w:rPr>
      <w:rFonts w:asciiTheme="majorHAnsi" w:eastAsiaTheme="majorEastAsia" w:hAnsiTheme="majorHAnsi" w:cstheme="majorBidi"/>
      <w:b/>
      <w:bCs/>
      <w:i/>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s">
    <w:name w:val="Table_titles"/>
    <w:basedOn w:val="Normal"/>
    <w:rsid w:val="006F6739"/>
    <w:pPr>
      <w:spacing w:line="220" w:lineRule="exact"/>
    </w:pPr>
    <w:rPr>
      <w:i/>
      <w:color w:val="000000"/>
      <w:lang w:eastAsia="en-AU"/>
    </w:rPr>
  </w:style>
  <w:style w:type="paragraph" w:customStyle="1" w:styleId="PhDHead">
    <w:name w:val="PhDHead"/>
    <w:basedOn w:val="Normal"/>
    <w:rsid w:val="002A4035"/>
    <w:rPr>
      <w:b/>
    </w:rPr>
  </w:style>
  <w:style w:type="paragraph" w:customStyle="1" w:styleId="PhDCHAPTER">
    <w:name w:val="PhDCHAPTER"/>
    <w:basedOn w:val="PhDHead"/>
    <w:rsid w:val="002A4035"/>
    <w:rPr>
      <w:rFonts w:ascii="Times New Roman" w:hAnsi="Times New Roman"/>
      <w:sz w:val="28"/>
    </w:rPr>
  </w:style>
  <w:style w:type="paragraph" w:customStyle="1" w:styleId="Ph4">
    <w:name w:val="Ph4"/>
    <w:basedOn w:val="Normal"/>
    <w:next w:val="Normal"/>
    <w:rsid w:val="00E227A9"/>
    <w:pPr>
      <w:spacing w:before="0" w:after="0"/>
    </w:pPr>
    <w:rPr>
      <w:rFonts w:ascii="Californian FB" w:hAnsi="Californian FB"/>
      <w:bCs/>
      <w:i/>
      <w:iCs/>
      <w:color w:val="0F243E"/>
    </w:rPr>
  </w:style>
  <w:style w:type="character" w:customStyle="1" w:styleId="Heading2Char">
    <w:name w:val="Heading 2 Char"/>
    <w:basedOn w:val="DefaultParagraphFont"/>
    <w:link w:val="Heading2"/>
    <w:uiPriority w:val="9"/>
    <w:rsid w:val="001462E1"/>
    <w:rPr>
      <w:rFonts w:asciiTheme="majorHAnsi" w:eastAsiaTheme="majorEastAsia" w:hAnsiTheme="majorHAnsi" w:cstheme="majorBidi"/>
      <w:color w:val="244061" w:themeColor="accent1" w:themeShade="80"/>
      <w:sz w:val="26"/>
      <w:szCs w:val="26"/>
    </w:rPr>
  </w:style>
  <w:style w:type="character" w:customStyle="1" w:styleId="Heading3Char">
    <w:name w:val="Heading 3 Char"/>
    <w:basedOn w:val="DefaultParagraphFont"/>
    <w:link w:val="Heading3"/>
    <w:rsid w:val="0094204D"/>
    <w:rPr>
      <w:rFonts w:asciiTheme="majorHAnsi" w:eastAsiaTheme="majorEastAsia" w:hAnsiTheme="majorHAnsi" w:cstheme="majorBidi"/>
      <w:i/>
      <w:color w:val="244061" w:themeColor="accent1" w:themeShade="80"/>
      <w:sz w:val="22"/>
      <w:szCs w:val="26"/>
    </w:rPr>
  </w:style>
  <w:style w:type="character" w:customStyle="1" w:styleId="Heading4Char">
    <w:name w:val="Heading 4 Char"/>
    <w:basedOn w:val="DefaultParagraphFont"/>
    <w:link w:val="Heading4"/>
    <w:uiPriority w:val="9"/>
    <w:rsid w:val="006F6739"/>
    <w:rPr>
      <w:rFonts w:asciiTheme="majorHAnsi" w:eastAsiaTheme="majorEastAsia" w:hAnsiTheme="majorHAnsi" w:cstheme="majorBidi"/>
      <w:b/>
      <w:bCs/>
      <w:i/>
      <w:iCs/>
      <w:color w:val="17365D" w:themeColor="text2" w:themeShade="BF"/>
      <w:sz w:val="22"/>
      <w:szCs w:val="24"/>
    </w:rPr>
  </w:style>
  <w:style w:type="character" w:customStyle="1" w:styleId="Heading1Char">
    <w:name w:val="Heading 1 Char"/>
    <w:basedOn w:val="DefaultParagraphFont"/>
    <w:link w:val="Heading1"/>
    <w:uiPriority w:val="9"/>
    <w:rsid w:val="002E7F14"/>
    <w:rPr>
      <w:rFonts w:asciiTheme="majorHAnsi" w:eastAsiaTheme="majorEastAsia" w:hAnsiTheme="majorHAnsi" w:cstheme="majorBidi"/>
      <w:iCs/>
      <w:color w:val="244061" w:themeColor="accent1" w:themeShade="80"/>
      <w:kern w:val="32"/>
      <w:sz w:val="32"/>
      <w:szCs w:val="32"/>
    </w:rPr>
  </w:style>
  <w:style w:type="paragraph" w:styleId="Title">
    <w:name w:val="Title"/>
    <w:basedOn w:val="Normal"/>
    <w:next w:val="Normal"/>
    <w:link w:val="TitleChar"/>
    <w:uiPriority w:val="10"/>
    <w:qFormat/>
    <w:rsid w:val="006F673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673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6F6739"/>
    <w:rPr>
      <w:rFonts w:ascii="Calibri" w:hAnsi="Calibri"/>
      <w:sz w:val="22"/>
      <w:szCs w:val="24"/>
    </w:rPr>
  </w:style>
  <w:style w:type="paragraph" w:styleId="Footer">
    <w:name w:val="footer"/>
    <w:basedOn w:val="Normal"/>
    <w:link w:val="FooterChar"/>
    <w:uiPriority w:val="99"/>
    <w:rsid w:val="00541AC8"/>
    <w:pPr>
      <w:tabs>
        <w:tab w:val="center" w:pos="4153"/>
        <w:tab w:val="right" w:pos="8306"/>
      </w:tabs>
    </w:pPr>
  </w:style>
  <w:style w:type="character" w:customStyle="1" w:styleId="FooterChar">
    <w:name w:val="Footer Char"/>
    <w:basedOn w:val="DefaultParagraphFont"/>
    <w:link w:val="Footer"/>
    <w:uiPriority w:val="99"/>
    <w:rsid w:val="00541AC8"/>
    <w:rPr>
      <w:rFonts w:ascii="Calibri" w:hAnsi="Calibri" w:cs="Arial"/>
      <w:bCs/>
      <w:iCs/>
      <w:sz w:val="22"/>
    </w:rPr>
  </w:style>
  <w:style w:type="paragraph" w:styleId="Header">
    <w:name w:val="header"/>
    <w:basedOn w:val="Normal"/>
    <w:link w:val="HeaderChar"/>
    <w:rsid w:val="00541AC8"/>
    <w:pPr>
      <w:tabs>
        <w:tab w:val="center" w:pos="4153"/>
        <w:tab w:val="right" w:pos="8306"/>
      </w:tabs>
    </w:pPr>
  </w:style>
  <w:style w:type="character" w:customStyle="1" w:styleId="HeaderChar">
    <w:name w:val="Header Char"/>
    <w:basedOn w:val="DefaultParagraphFont"/>
    <w:link w:val="Header"/>
    <w:rsid w:val="00541AC8"/>
    <w:rPr>
      <w:rFonts w:ascii="Calibri" w:hAnsi="Calibri" w:cs="Arial"/>
      <w:bCs/>
      <w:iCs/>
      <w:sz w:val="22"/>
    </w:rPr>
  </w:style>
  <w:style w:type="paragraph" w:styleId="BalloonText">
    <w:name w:val="Balloon Text"/>
    <w:basedOn w:val="Normal"/>
    <w:link w:val="BalloonTextChar"/>
    <w:uiPriority w:val="99"/>
    <w:semiHidden/>
    <w:unhideWhenUsed/>
    <w:rsid w:val="001C5E2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E2B"/>
    <w:rPr>
      <w:rFonts w:ascii="Tahoma" w:hAnsi="Tahoma" w:cs="Tahoma"/>
      <w:sz w:val="16"/>
      <w:szCs w:val="16"/>
    </w:rPr>
  </w:style>
  <w:style w:type="paragraph" w:styleId="TOCHeading">
    <w:name w:val="TOC Heading"/>
    <w:basedOn w:val="Heading1"/>
    <w:next w:val="Normal"/>
    <w:uiPriority w:val="39"/>
    <w:semiHidden/>
    <w:unhideWhenUsed/>
    <w:qFormat/>
    <w:rsid w:val="005B7BC4"/>
    <w:pPr>
      <w:keepLines/>
      <w:spacing w:before="480" w:after="0" w:line="276" w:lineRule="auto"/>
      <w:outlineLvl w:val="9"/>
    </w:pPr>
    <w:rPr>
      <w:b/>
      <w:bCs/>
      <w:iCs w:val="0"/>
      <w:color w:val="365F91" w:themeColor="accent1" w:themeShade="BF"/>
      <w:kern w:val="0"/>
      <w:sz w:val="28"/>
      <w:szCs w:val="28"/>
      <w:lang w:val="en-US"/>
    </w:rPr>
  </w:style>
  <w:style w:type="paragraph" w:styleId="TOC1">
    <w:name w:val="toc 1"/>
    <w:basedOn w:val="Normal"/>
    <w:next w:val="Normal"/>
    <w:autoRedefine/>
    <w:uiPriority w:val="39"/>
    <w:unhideWhenUsed/>
    <w:rsid w:val="005B7BC4"/>
    <w:pPr>
      <w:spacing w:after="100"/>
    </w:pPr>
  </w:style>
  <w:style w:type="character" w:styleId="Hyperlink">
    <w:name w:val="Hyperlink"/>
    <w:basedOn w:val="DefaultParagraphFont"/>
    <w:uiPriority w:val="99"/>
    <w:unhideWhenUsed/>
    <w:rsid w:val="005B7BC4"/>
    <w:rPr>
      <w:color w:val="0000FF" w:themeColor="hyperlink"/>
      <w:u w:val="single"/>
    </w:rPr>
  </w:style>
  <w:style w:type="paragraph" w:customStyle="1" w:styleId="Default">
    <w:name w:val="Default"/>
    <w:rsid w:val="0040240E"/>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84D80"/>
    <w:pPr>
      <w:ind w:left="720"/>
      <w:contextualSpacing/>
    </w:pPr>
  </w:style>
  <w:style w:type="character" w:styleId="FollowedHyperlink">
    <w:name w:val="FollowedHyperlink"/>
    <w:basedOn w:val="DefaultParagraphFont"/>
    <w:uiPriority w:val="99"/>
    <w:semiHidden/>
    <w:unhideWhenUsed/>
    <w:rsid w:val="00F553F6"/>
    <w:rPr>
      <w:color w:val="800080" w:themeColor="followedHyperlink"/>
      <w:u w:val="single"/>
    </w:rPr>
  </w:style>
  <w:style w:type="paragraph" w:styleId="NormalWeb">
    <w:name w:val="Normal (Web)"/>
    <w:basedOn w:val="Normal"/>
    <w:uiPriority w:val="99"/>
    <w:semiHidden/>
    <w:unhideWhenUsed/>
    <w:rsid w:val="00BE25BA"/>
    <w:pPr>
      <w:spacing w:before="100" w:beforeAutospacing="1" w:after="100" w:afterAutospacing="1" w:line="240" w:lineRule="auto"/>
    </w:pPr>
    <w:rPr>
      <w:rFonts w:ascii="Times New Roman" w:hAnsi="Times New Roman"/>
      <w:sz w:val="24"/>
      <w:lang w:eastAsia="en-AU"/>
    </w:rPr>
  </w:style>
  <w:style w:type="character" w:styleId="Strong">
    <w:name w:val="Strong"/>
    <w:basedOn w:val="DefaultParagraphFont"/>
    <w:uiPriority w:val="22"/>
    <w:qFormat/>
    <w:rsid w:val="00BE25BA"/>
    <w:rPr>
      <w:b/>
      <w:bCs/>
    </w:rPr>
  </w:style>
  <w:style w:type="paragraph" w:styleId="FootnoteText">
    <w:name w:val="footnote text"/>
    <w:basedOn w:val="Normal"/>
    <w:link w:val="FootnoteTextChar"/>
    <w:uiPriority w:val="99"/>
    <w:semiHidden/>
    <w:unhideWhenUsed/>
    <w:rsid w:val="000A4B10"/>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A4B10"/>
    <w:rPr>
      <w:rFonts w:ascii="Cambria" w:hAnsi="Cambria"/>
    </w:rPr>
  </w:style>
  <w:style w:type="character" w:styleId="FootnoteReference">
    <w:name w:val="footnote reference"/>
    <w:basedOn w:val="DefaultParagraphFont"/>
    <w:uiPriority w:val="99"/>
    <w:semiHidden/>
    <w:unhideWhenUsed/>
    <w:rsid w:val="000A4B10"/>
    <w:rPr>
      <w:vertAlign w:val="superscript"/>
    </w:rPr>
  </w:style>
  <w:style w:type="paragraph" w:styleId="TOC2">
    <w:name w:val="toc 2"/>
    <w:basedOn w:val="Normal"/>
    <w:next w:val="Normal"/>
    <w:autoRedefine/>
    <w:uiPriority w:val="39"/>
    <w:unhideWhenUsed/>
    <w:rsid w:val="00DA7492"/>
    <w:pPr>
      <w:tabs>
        <w:tab w:val="left" w:pos="851"/>
        <w:tab w:val="right" w:leader="dot" w:pos="9016"/>
      </w:tabs>
      <w:spacing w:after="100"/>
      <w:ind w:left="220"/>
    </w:pPr>
  </w:style>
  <w:style w:type="character" w:customStyle="1" w:styleId="apple-converted-space">
    <w:name w:val="apple-converted-space"/>
    <w:basedOn w:val="DefaultParagraphFont"/>
    <w:rsid w:val="00625E5C"/>
  </w:style>
  <w:style w:type="paragraph" w:styleId="TOC3">
    <w:name w:val="toc 3"/>
    <w:basedOn w:val="Normal"/>
    <w:next w:val="Normal"/>
    <w:autoRedefine/>
    <w:uiPriority w:val="39"/>
    <w:unhideWhenUsed/>
    <w:rsid w:val="004C2D44"/>
    <w:pPr>
      <w:spacing w:after="100"/>
      <w:ind w:left="440"/>
    </w:pPr>
  </w:style>
  <w:style w:type="table" w:styleId="TableGrid">
    <w:name w:val="Table Grid"/>
    <w:basedOn w:val="TableNormal"/>
    <w:rsid w:val="00E25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4AD8"/>
    <w:rPr>
      <w:sz w:val="16"/>
      <w:szCs w:val="16"/>
    </w:rPr>
  </w:style>
  <w:style w:type="paragraph" w:styleId="CommentText">
    <w:name w:val="annotation text"/>
    <w:basedOn w:val="Normal"/>
    <w:link w:val="CommentTextChar"/>
    <w:uiPriority w:val="99"/>
    <w:semiHidden/>
    <w:unhideWhenUsed/>
    <w:rsid w:val="00E94AD8"/>
    <w:pPr>
      <w:spacing w:line="240" w:lineRule="auto"/>
    </w:pPr>
    <w:rPr>
      <w:sz w:val="20"/>
      <w:szCs w:val="20"/>
    </w:rPr>
  </w:style>
  <w:style w:type="character" w:customStyle="1" w:styleId="CommentTextChar">
    <w:name w:val="Comment Text Char"/>
    <w:basedOn w:val="DefaultParagraphFont"/>
    <w:link w:val="CommentText"/>
    <w:uiPriority w:val="99"/>
    <w:semiHidden/>
    <w:rsid w:val="00E94AD8"/>
    <w:rPr>
      <w:rFonts w:ascii="Cambria" w:hAnsi="Cambria"/>
    </w:rPr>
  </w:style>
  <w:style w:type="paragraph" w:styleId="CommentSubject">
    <w:name w:val="annotation subject"/>
    <w:basedOn w:val="CommentText"/>
    <w:next w:val="CommentText"/>
    <w:link w:val="CommentSubjectChar"/>
    <w:uiPriority w:val="99"/>
    <w:semiHidden/>
    <w:unhideWhenUsed/>
    <w:rsid w:val="00E94AD8"/>
    <w:rPr>
      <w:b/>
      <w:bCs/>
    </w:rPr>
  </w:style>
  <w:style w:type="character" w:customStyle="1" w:styleId="CommentSubjectChar">
    <w:name w:val="Comment Subject Char"/>
    <w:basedOn w:val="CommentTextChar"/>
    <w:link w:val="CommentSubject"/>
    <w:uiPriority w:val="99"/>
    <w:semiHidden/>
    <w:rsid w:val="00E94AD8"/>
    <w:rPr>
      <w:rFonts w:ascii="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290">
      <w:bodyDiv w:val="1"/>
      <w:marLeft w:val="0"/>
      <w:marRight w:val="0"/>
      <w:marTop w:val="0"/>
      <w:marBottom w:val="0"/>
      <w:divBdr>
        <w:top w:val="none" w:sz="0" w:space="0" w:color="auto"/>
        <w:left w:val="none" w:sz="0" w:space="0" w:color="auto"/>
        <w:bottom w:val="none" w:sz="0" w:space="0" w:color="auto"/>
        <w:right w:val="none" w:sz="0" w:space="0" w:color="auto"/>
      </w:divBdr>
    </w:div>
    <w:div w:id="256063836">
      <w:bodyDiv w:val="1"/>
      <w:marLeft w:val="0"/>
      <w:marRight w:val="0"/>
      <w:marTop w:val="0"/>
      <w:marBottom w:val="0"/>
      <w:divBdr>
        <w:top w:val="none" w:sz="0" w:space="0" w:color="auto"/>
        <w:left w:val="none" w:sz="0" w:space="0" w:color="auto"/>
        <w:bottom w:val="none" w:sz="0" w:space="0" w:color="auto"/>
        <w:right w:val="none" w:sz="0" w:space="0" w:color="auto"/>
      </w:divBdr>
    </w:div>
    <w:div w:id="465971035">
      <w:bodyDiv w:val="1"/>
      <w:marLeft w:val="0"/>
      <w:marRight w:val="0"/>
      <w:marTop w:val="0"/>
      <w:marBottom w:val="0"/>
      <w:divBdr>
        <w:top w:val="none" w:sz="0" w:space="0" w:color="auto"/>
        <w:left w:val="none" w:sz="0" w:space="0" w:color="auto"/>
        <w:bottom w:val="none" w:sz="0" w:space="0" w:color="auto"/>
        <w:right w:val="none" w:sz="0" w:space="0" w:color="auto"/>
      </w:divBdr>
    </w:div>
    <w:div w:id="624048206">
      <w:bodyDiv w:val="1"/>
      <w:marLeft w:val="0"/>
      <w:marRight w:val="0"/>
      <w:marTop w:val="0"/>
      <w:marBottom w:val="0"/>
      <w:divBdr>
        <w:top w:val="none" w:sz="0" w:space="0" w:color="auto"/>
        <w:left w:val="none" w:sz="0" w:space="0" w:color="auto"/>
        <w:bottom w:val="none" w:sz="0" w:space="0" w:color="auto"/>
        <w:right w:val="none" w:sz="0" w:space="0" w:color="auto"/>
      </w:divBdr>
    </w:div>
    <w:div w:id="779690369">
      <w:bodyDiv w:val="1"/>
      <w:marLeft w:val="0"/>
      <w:marRight w:val="0"/>
      <w:marTop w:val="0"/>
      <w:marBottom w:val="0"/>
      <w:divBdr>
        <w:top w:val="none" w:sz="0" w:space="0" w:color="auto"/>
        <w:left w:val="none" w:sz="0" w:space="0" w:color="auto"/>
        <w:bottom w:val="none" w:sz="0" w:space="0" w:color="auto"/>
        <w:right w:val="none" w:sz="0" w:space="0" w:color="auto"/>
      </w:divBdr>
    </w:div>
    <w:div w:id="960649494">
      <w:bodyDiv w:val="1"/>
      <w:marLeft w:val="0"/>
      <w:marRight w:val="0"/>
      <w:marTop w:val="0"/>
      <w:marBottom w:val="0"/>
      <w:divBdr>
        <w:top w:val="none" w:sz="0" w:space="0" w:color="auto"/>
        <w:left w:val="none" w:sz="0" w:space="0" w:color="auto"/>
        <w:bottom w:val="none" w:sz="0" w:space="0" w:color="auto"/>
        <w:right w:val="none" w:sz="0" w:space="0" w:color="auto"/>
      </w:divBdr>
    </w:div>
    <w:div w:id="1025205491">
      <w:bodyDiv w:val="1"/>
      <w:marLeft w:val="0"/>
      <w:marRight w:val="0"/>
      <w:marTop w:val="0"/>
      <w:marBottom w:val="0"/>
      <w:divBdr>
        <w:top w:val="none" w:sz="0" w:space="0" w:color="auto"/>
        <w:left w:val="none" w:sz="0" w:space="0" w:color="auto"/>
        <w:bottom w:val="none" w:sz="0" w:space="0" w:color="auto"/>
        <w:right w:val="none" w:sz="0" w:space="0" w:color="auto"/>
      </w:divBdr>
    </w:div>
    <w:div w:id="1070008119">
      <w:bodyDiv w:val="1"/>
      <w:marLeft w:val="0"/>
      <w:marRight w:val="0"/>
      <w:marTop w:val="0"/>
      <w:marBottom w:val="0"/>
      <w:divBdr>
        <w:top w:val="none" w:sz="0" w:space="0" w:color="auto"/>
        <w:left w:val="none" w:sz="0" w:space="0" w:color="auto"/>
        <w:bottom w:val="none" w:sz="0" w:space="0" w:color="auto"/>
        <w:right w:val="none" w:sz="0" w:space="0" w:color="auto"/>
      </w:divBdr>
    </w:div>
    <w:div w:id="1547524386">
      <w:bodyDiv w:val="1"/>
      <w:marLeft w:val="0"/>
      <w:marRight w:val="0"/>
      <w:marTop w:val="0"/>
      <w:marBottom w:val="0"/>
      <w:divBdr>
        <w:top w:val="none" w:sz="0" w:space="0" w:color="auto"/>
        <w:left w:val="none" w:sz="0" w:space="0" w:color="auto"/>
        <w:bottom w:val="none" w:sz="0" w:space="0" w:color="auto"/>
        <w:right w:val="none" w:sz="0" w:space="0" w:color="auto"/>
      </w:divBdr>
    </w:div>
    <w:div w:id="1663122557">
      <w:bodyDiv w:val="1"/>
      <w:marLeft w:val="0"/>
      <w:marRight w:val="0"/>
      <w:marTop w:val="0"/>
      <w:marBottom w:val="0"/>
      <w:divBdr>
        <w:top w:val="none" w:sz="0" w:space="0" w:color="auto"/>
        <w:left w:val="none" w:sz="0" w:space="0" w:color="auto"/>
        <w:bottom w:val="none" w:sz="0" w:space="0" w:color="auto"/>
        <w:right w:val="none" w:sz="0" w:space="0" w:color="auto"/>
      </w:divBdr>
    </w:div>
    <w:div w:id="1836334931">
      <w:bodyDiv w:val="1"/>
      <w:marLeft w:val="0"/>
      <w:marRight w:val="0"/>
      <w:marTop w:val="0"/>
      <w:marBottom w:val="0"/>
      <w:divBdr>
        <w:top w:val="none" w:sz="0" w:space="0" w:color="auto"/>
        <w:left w:val="none" w:sz="0" w:space="0" w:color="auto"/>
        <w:bottom w:val="none" w:sz="0" w:space="0" w:color="auto"/>
        <w:right w:val="none" w:sz="0" w:space="0" w:color="auto"/>
      </w:divBdr>
    </w:div>
    <w:div w:id="200601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ulticultural.sa.gov.au/about-us/what-is-multiculturalism" TargetMode="External"/><Relationship Id="rId1" Type="http://schemas.openxmlformats.org/officeDocument/2006/relationships/hyperlink" Target="http://saplan.org.a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Kristine\Dropbox\AAA%20SERVER%20working%20file\PLS%20Community%20Language%20Strategy%20X1102M\Bibliostat%20borrowings%20by%20library.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Community Languages loans by Library Service,</a:t>
            </a:r>
            <a:r>
              <a:rPr lang="en-US" sz="1200" baseline="0"/>
              <a:t> 2011-12</a:t>
            </a:r>
            <a:endParaRPr lang="en-US" sz="12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Sheet1!$A$3:$A$30</c:f>
              <c:strCache>
                <c:ptCount val="28"/>
                <c:pt idx="0">
                  <c:v>Charles Sturt</c:v>
                </c:pt>
                <c:pt idx="1">
                  <c:v>Salisbury</c:v>
                </c:pt>
                <c:pt idx="2">
                  <c:v>Port Adelaide Enfield</c:v>
                </c:pt>
                <c:pt idx="3">
                  <c:v>Campbelltown</c:v>
                </c:pt>
                <c:pt idx="4">
                  <c:v>Burnside</c:v>
                </c:pt>
                <c:pt idx="5">
                  <c:v>Adelaide City</c:v>
                </c:pt>
                <c:pt idx="6">
                  <c:v>West Torrens</c:v>
                </c:pt>
                <c:pt idx="7">
                  <c:v>Norwood, Payneham, St Peters</c:v>
                </c:pt>
                <c:pt idx="8">
                  <c:v>Unley</c:v>
                </c:pt>
                <c:pt idx="9">
                  <c:v>Marion</c:v>
                </c:pt>
                <c:pt idx="10">
                  <c:v>Prospect</c:v>
                </c:pt>
                <c:pt idx="11">
                  <c:v>Onkaparinga</c:v>
                </c:pt>
                <c:pt idx="12">
                  <c:v>Adelaide Hills</c:v>
                </c:pt>
                <c:pt idx="13">
                  <c:v>Renmark &amp; Paringa</c:v>
                </c:pt>
                <c:pt idx="14">
                  <c:v>Port Pirie</c:v>
                </c:pt>
                <c:pt idx="15">
                  <c:v>Mount Gambier</c:v>
                </c:pt>
                <c:pt idx="16">
                  <c:v>Alexandrina</c:v>
                </c:pt>
                <c:pt idx="17">
                  <c:v>Victor Harbor</c:v>
                </c:pt>
                <c:pt idx="18">
                  <c:v>Barossa</c:v>
                </c:pt>
                <c:pt idx="19">
                  <c:v>Port Lincoln</c:v>
                </c:pt>
                <c:pt idx="20">
                  <c:v>Barmera</c:v>
                </c:pt>
                <c:pt idx="21">
                  <c:v>Holdfast Bay</c:v>
                </c:pt>
                <c:pt idx="22">
                  <c:v>Light Regional</c:v>
                </c:pt>
                <c:pt idx="23">
                  <c:v>Coober Pedy</c:v>
                </c:pt>
                <c:pt idx="24">
                  <c:v>Tintinara</c:v>
                </c:pt>
                <c:pt idx="25">
                  <c:v>Playford</c:v>
                </c:pt>
                <c:pt idx="26">
                  <c:v>Waikerie</c:v>
                </c:pt>
                <c:pt idx="27">
                  <c:v>Swan Reach</c:v>
                </c:pt>
              </c:strCache>
            </c:strRef>
          </c:cat>
          <c:val>
            <c:numRef>
              <c:f>Sheet1!$B$3:$B$30</c:f>
              <c:numCache>
                <c:formatCode>#,##0</c:formatCode>
                <c:ptCount val="28"/>
                <c:pt idx="0">
                  <c:v>181721</c:v>
                </c:pt>
                <c:pt idx="1">
                  <c:v>63790</c:v>
                </c:pt>
                <c:pt idx="2">
                  <c:v>37908</c:v>
                </c:pt>
                <c:pt idx="3">
                  <c:v>23426</c:v>
                </c:pt>
                <c:pt idx="4">
                  <c:v>15118</c:v>
                </c:pt>
                <c:pt idx="5">
                  <c:v>14001</c:v>
                </c:pt>
                <c:pt idx="6">
                  <c:v>11720</c:v>
                </c:pt>
                <c:pt idx="7">
                  <c:v>11093</c:v>
                </c:pt>
                <c:pt idx="8">
                  <c:v>8622</c:v>
                </c:pt>
                <c:pt idx="9">
                  <c:v>3285</c:v>
                </c:pt>
                <c:pt idx="10">
                  <c:v>3096</c:v>
                </c:pt>
                <c:pt idx="11" formatCode="General">
                  <c:v>790</c:v>
                </c:pt>
                <c:pt idx="12" formatCode="General">
                  <c:v>550</c:v>
                </c:pt>
                <c:pt idx="13" formatCode="General">
                  <c:v>446</c:v>
                </c:pt>
                <c:pt idx="14" formatCode="General">
                  <c:v>366</c:v>
                </c:pt>
                <c:pt idx="15" formatCode="General">
                  <c:v>301</c:v>
                </c:pt>
                <c:pt idx="16" formatCode="General">
                  <c:v>268</c:v>
                </c:pt>
                <c:pt idx="17" formatCode="General">
                  <c:v>220</c:v>
                </c:pt>
                <c:pt idx="18" formatCode="General">
                  <c:v>205</c:v>
                </c:pt>
                <c:pt idx="19" formatCode="General">
                  <c:v>118</c:v>
                </c:pt>
                <c:pt idx="20" formatCode="General">
                  <c:v>81</c:v>
                </c:pt>
                <c:pt idx="21" formatCode="General">
                  <c:v>44</c:v>
                </c:pt>
                <c:pt idx="22" formatCode="General">
                  <c:v>42</c:v>
                </c:pt>
                <c:pt idx="23" formatCode="General">
                  <c:v>30</c:v>
                </c:pt>
                <c:pt idx="24" formatCode="General">
                  <c:v>21</c:v>
                </c:pt>
                <c:pt idx="25" formatCode="General">
                  <c:v>20</c:v>
                </c:pt>
                <c:pt idx="26" formatCode="General">
                  <c:v>13</c:v>
                </c:pt>
                <c:pt idx="27" formatCode="General">
                  <c:v>7</c:v>
                </c:pt>
              </c:numCache>
            </c:numRef>
          </c:val>
        </c:ser>
        <c:dLbls>
          <c:showLegendKey val="0"/>
          <c:showVal val="0"/>
          <c:showCatName val="0"/>
          <c:showSerName val="0"/>
          <c:showPercent val="0"/>
          <c:showBubbleSize val="0"/>
        </c:dLbls>
        <c:gapWidth val="150"/>
        <c:shape val="box"/>
        <c:axId val="129172224"/>
        <c:axId val="129173760"/>
        <c:axId val="0"/>
      </c:bar3DChart>
      <c:catAx>
        <c:axId val="129172224"/>
        <c:scaling>
          <c:orientation val="minMax"/>
        </c:scaling>
        <c:delete val="0"/>
        <c:axPos val="b"/>
        <c:majorTickMark val="out"/>
        <c:minorTickMark val="none"/>
        <c:tickLblPos val="nextTo"/>
        <c:txPr>
          <a:bodyPr/>
          <a:lstStyle/>
          <a:p>
            <a:pPr>
              <a:defRPr sz="700"/>
            </a:pPr>
            <a:endParaRPr lang="en-US"/>
          </a:p>
        </c:txPr>
        <c:crossAx val="129173760"/>
        <c:crosses val="autoZero"/>
        <c:auto val="1"/>
        <c:lblAlgn val="ctr"/>
        <c:lblOffset val="100"/>
        <c:noMultiLvlLbl val="0"/>
      </c:catAx>
      <c:valAx>
        <c:axId val="129173760"/>
        <c:scaling>
          <c:orientation val="minMax"/>
        </c:scaling>
        <c:delete val="0"/>
        <c:axPos val="l"/>
        <c:majorGridlines/>
        <c:title>
          <c:tx>
            <c:rich>
              <a:bodyPr rot="-5400000" vert="horz"/>
              <a:lstStyle/>
              <a:p>
                <a:pPr>
                  <a:defRPr sz="900"/>
                </a:pPr>
                <a:r>
                  <a:rPr lang="en-US" sz="900"/>
                  <a:t>Number of items</a:t>
                </a:r>
              </a:p>
            </c:rich>
          </c:tx>
          <c:layout>
            <c:manualLayout>
              <c:xMode val="edge"/>
              <c:yMode val="edge"/>
              <c:x val="2.8391151811698601E-2"/>
              <c:y val="0.24476122776319642"/>
            </c:manualLayout>
          </c:layout>
          <c:overlay val="0"/>
        </c:title>
        <c:numFmt formatCode="#,##0" sourceLinked="1"/>
        <c:majorTickMark val="out"/>
        <c:minorTickMark val="none"/>
        <c:tickLblPos val="nextTo"/>
        <c:txPr>
          <a:bodyPr/>
          <a:lstStyle/>
          <a:p>
            <a:pPr>
              <a:defRPr sz="800"/>
            </a:pPr>
            <a:endParaRPr lang="en-US"/>
          </a:p>
        </c:txPr>
        <c:crossAx val="1291722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The 'long</a:t>
            </a:r>
            <a:r>
              <a:rPr lang="en-US" baseline="0"/>
              <a:t> tail' of languages spoken at home in South Australia (2011 Census)</a:t>
            </a:r>
            <a:endParaRPr lang="en-US"/>
          </a:p>
        </c:rich>
      </c:tx>
      <c:overlay val="0"/>
    </c:title>
    <c:autoTitleDeleted val="0"/>
    <c:plotArea>
      <c:layout/>
      <c:lineChart>
        <c:grouping val="standard"/>
        <c:varyColors val="0"/>
        <c:ser>
          <c:idx val="0"/>
          <c:order val="0"/>
          <c:tx>
            <c:strRef>
              <c:f>Sheet1!$B$1</c:f>
              <c:strCache>
                <c:ptCount val="1"/>
                <c:pt idx="0">
                  <c:v>No. Of People</c:v>
                </c:pt>
              </c:strCache>
            </c:strRef>
          </c:tx>
          <c:marker>
            <c:symbol val="none"/>
          </c:marker>
          <c:cat>
            <c:strRef>
              <c:f>Sheet1!$A$2:$A$42</c:f>
              <c:strCache>
                <c:ptCount val="41"/>
                <c:pt idx="0">
                  <c:v>Italian</c:v>
                </c:pt>
                <c:pt idx="1">
                  <c:v>Greek</c:v>
                </c:pt>
                <c:pt idx="2">
                  <c:v>Mandarin</c:v>
                </c:pt>
                <c:pt idx="3">
                  <c:v>Vietnamese</c:v>
                </c:pt>
                <c:pt idx="4">
                  <c:v>Cantonese</c:v>
                </c:pt>
                <c:pt idx="5">
                  <c:v>Arabic</c:v>
                </c:pt>
                <c:pt idx="6">
                  <c:v>German</c:v>
                </c:pt>
                <c:pt idx="7">
                  <c:v>Polish</c:v>
                </c:pt>
                <c:pt idx="8">
                  <c:v>Spanish</c:v>
                </c:pt>
                <c:pt idx="9">
                  <c:v>Punjabi</c:v>
                </c:pt>
                <c:pt idx="10">
                  <c:v>Hindi</c:v>
                </c:pt>
                <c:pt idx="11">
                  <c:v>Serbian</c:v>
                </c:pt>
                <c:pt idx="12">
                  <c:v>Tagalog</c:v>
                </c:pt>
                <c:pt idx="13">
                  <c:v>Khmer</c:v>
                </c:pt>
                <c:pt idx="14">
                  <c:v>Croatian</c:v>
                </c:pt>
                <c:pt idx="15">
                  <c:v>Russian</c:v>
                </c:pt>
                <c:pt idx="16">
                  <c:v>Dutch</c:v>
                </c:pt>
                <c:pt idx="17">
                  <c:v>Korean</c:v>
                </c:pt>
                <c:pt idx="18">
                  <c:v>Filipino</c:v>
                </c:pt>
                <c:pt idx="19">
                  <c:v>Farsi/Persian (ex Dari)</c:v>
                </c:pt>
                <c:pt idx="20">
                  <c:v>Gujarati</c:v>
                </c:pt>
                <c:pt idx="21">
                  <c:v>Dari</c:v>
                </c:pt>
                <c:pt idx="22">
                  <c:v>Malayalam</c:v>
                </c:pt>
                <c:pt idx="23">
                  <c:v>French</c:v>
                </c:pt>
                <c:pt idx="24">
                  <c:v>Afrikaans</c:v>
                </c:pt>
                <c:pt idx="25">
                  <c:v>Chinese</c:v>
                </c:pt>
                <c:pt idx="26">
                  <c:v>Japanese</c:v>
                </c:pt>
                <c:pt idx="27">
                  <c:v>Nepali</c:v>
                </c:pt>
                <c:pt idx="28">
                  <c:v>Sinhalese</c:v>
                </c:pt>
                <c:pt idx="29">
                  <c:v>Tamil</c:v>
                </c:pt>
                <c:pt idx="30">
                  <c:v>Indonesian</c:v>
                </c:pt>
                <c:pt idx="31">
                  <c:v>Indo-Aryan</c:v>
                </c:pt>
                <c:pt idx="32">
                  <c:v>Bengali</c:v>
                </c:pt>
                <c:pt idx="33">
                  <c:v>Hungarian</c:v>
                </c:pt>
                <c:pt idx="34">
                  <c:v>Dinka</c:v>
                </c:pt>
                <c:pt idx="35">
                  <c:v>Bosnian</c:v>
                </c:pt>
                <c:pt idx="36">
                  <c:v>Thai</c:v>
                </c:pt>
                <c:pt idx="37">
                  <c:v>Urdu</c:v>
                </c:pt>
                <c:pt idx="38">
                  <c:v>Hazaraghi</c:v>
                </c:pt>
                <c:pt idx="39">
                  <c:v>Swahili</c:v>
                </c:pt>
                <c:pt idx="40">
                  <c:v>Ukrainian</c:v>
                </c:pt>
              </c:strCache>
            </c:strRef>
          </c:cat>
          <c:val>
            <c:numRef>
              <c:f>Sheet1!$B$2:$B$42</c:f>
              <c:numCache>
                <c:formatCode>General</c:formatCode>
                <c:ptCount val="41"/>
                <c:pt idx="0">
                  <c:v>33294</c:v>
                </c:pt>
                <c:pt idx="1">
                  <c:v>25250</c:v>
                </c:pt>
                <c:pt idx="2">
                  <c:v>16497</c:v>
                </c:pt>
                <c:pt idx="3">
                  <c:v>15969</c:v>
                </c:pt>
                <c:pt idx="4">
                  <c:v>9000</c:v>
                </c:pt>
                <c:pt idx="5">
                  <c:v>7467</c:v>
                </c:pt>
                <c:pt idx="6">
                  <c:v>7460</c:v>
                </c:pt>
                <c:pt idx="7">
                  <c:v>6242</c:v>
                </c:pt>
                <c:pt idx="8">
                  <c:v>4908</c:v>
                </c:pt>
                <c:pt idx="9">
                  <c:v>4426</c:v>
                </c:pt>
                <c:pt idx="10">
                  <c:v>4419</c:v>
                </c:pt>
                <c:pt idx="11">
                  <c:v>4282</c:v>
                </c:pt>
                <c:pt idx="12">
                  <c:v>3818</c:v>
                </c:pt>
                <c:pt idx="13">
                  <c:v>3673</c:v>
                </c:pt>
                <c:pt idx="14">
                  <c:v>3437</c:v>
                </c:pt>
                <c:pt idx="15">
                  <c:v>3118</c:v>
                </c:pt>
                <c:pt idx="16">
                  <c:v>3105</c:v>
                </c:pt>
                <c:pt idx="17">
                  <c:v>3059</c:v>
                </c:pt>
                <c:pt idx="18">
                  <c:v>2974</c:v>
                </c:pt>
                <c:pt idx="19">
                  <c:v>2900</c:v>
                </c:pt>
                <c:pt idx="20">
                  <c:v>2399</c:v>
                </c:pt>
                <c:pt idx="21">
                  <c:v>2247</c:v>
                </c:pt>
                <c:pt idx="22">
                  <c:v>2193</c:v>
                </c:pt>
                <c:pt idx="23">
                  <c:v>2139</c:v>
                </c:pt>
                <c:pt idx="24">
                  <c:v>2080</c:v>
                </c:pt>
                <c:pt idx="25">
                  <c:v>1772</c:v>
                </c:pt>
                <c:pt idx="26">
                  <c:v>1772</c:v>
                </c:pt>
                <c:pt idx="27">
                  <c:v>1730</c:v>
                </c:pt>
                <c:pt idx="28">
                  <c:v>1724</c:v>
                </c:pt>
                <c:pt idx="29">
                  <c:v>1704</c:v>
                </c:pt>
                <c:pt idx="30">
                  <c:v>1554</c:v>
                </c:pt>
                <c:pt idx="31">
                  <c:v>1548</c:v>
                </c:pt>
                <c:pt idx="32">
                  <c:v>1480</c:v>
                </c:pt>
                <c:pt idx="33">
                  <c:v>1475</c:v>
                </c:pt>
                <c:pt idx="34">
                  <c:v>1439</c:v>
                </c:pt>
                <c:pt idx="35">
                  <c:v>1387</c:v>
                </c:pt>
                <c:pt idx="36">
                  <c:v>1369</c:v>
                </c:pt>
                <c:pt idx="37">
                  <c:v>1325</c:v>
                </c:pt>
                <c:pt idx="38">
                  <c:v>1240</c:v>
                </c:pt>
                <c:pt idx="39">
                  <c:v>1208</c:v>
                </c:pt>
                <c:pt idx="40">
                  <c:v>1149</c:v>
                </c:pt>
              </c:numCache>
            </c:numRef>
          </c:val>
          <c:smooth val="0"/>
        </c:ser>
        <c:dLbls>
          <c:showLegendKey val="0"/>
          <c:showVal val="0"/>
          <c:showCatName val="0"/>
          <c:showSerName val="0"/>
          <c:showPercent val="0"/>
          <c:showBubbleSize val="0"/>
        </c:dLbls>
        <c:marker val="1"/>
        <c:smooth val="0"/>
        <c:axId val="129186048"/>
        <c:axId val="129204224"/>
      </c:lineChart>
      <c:catAx>
        <c:axId val="129186048"/>
        <c:scaling>
          <c:orientation val="minMax"/>
        </c:scaling>
        <c:delete val="0"/>
        <c:axPos val="b"/>
        <c:majorTickMark val="out"/>
        <c:minorTickMark val="none"/>
        <c:tickLblPos val="nextTo"/>
        <c:crossAx val="129204224"/>
        <c:crosses val="autoZero"/>
        <c:auto val="1"/>
        <c:lblAlgn val="ctr"/>
        <c:lblOffset val="100"/>
        <c:noMultiLvlLbl val="0"/>
      </c:catAx>
      <c:valAx>
        <c:axId val="129204224"/>
        <c:scaling>
          <c:orientation val="minMax"/>
        </c:scaling>
        <c:delete val="0"/>
        <c:axPos val="l"/>
        <c:majorGridlines/>
        <c:numFmt formatCode="General" sourceLinked="1"/>
        <c:majorTickMark val="out"/>
        <c:minorTickMark val="none"/>
        <c:tickLblPos val="nextTo"/>
        <c:crossAx val="1291860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4B77A-A087-4096-B45A-2AA5B2EA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6745</Words>
  <Characters>38449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Anne Pascoe</cp:lastModifiedBy>
  <cp:revision>2</cp:revision>
  <cp:lastPrinted>2014-05-02T05:32:00Z</cp:lastPrinted>
  <dcterms:created xsi:type="dcterms:W3CDTF">2015-08-03T06:33:00Z</dcterms:created>
  <dcterms:modified xsi:type="dcterms:W3CDTF">2015-08-03T06:33:00Z</dcterms:modified>
</cp:coreProperties>
</file>